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1255" w:vertAnchor="margin" w:tblpY="363" w:leftFromText="180" w:topFromText="0" w:rightFromText="180" w:bottomFromText="0"/>
        <w:tblW w:w="10368" w:type="dxa"/>
        <w:tblLook w:val="0000" w:firstRow="0" w:lastRow="0" w:firstColumn="0" w:lastColumn="0" w:noHBand="0" w:noVBand="0"/>
      </w:tblPr>
      <w:tblGrid>
        <w:gridCol w:w="5148"/>
        <w:gridCol w:w="5220"/>
      </w:tblGrid>
      <w:tr>
        <w:trPr>
          <w:trHeight w:val="1267"/>
        </w:trPr>
        <w:tc>
          <w:tcPr>
            <w:shd w:val="clear" w:color="auto" w:fill="auto"/>
            <w:tcW w:w="5148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</w:tc>
        <w:tc>
          <w:tcPr>
            <w:tcW w:w="5220" w:type="dxa"/>
            <w:textDirection w:val="lrTb"/>
            <w:noWrap w:val="false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/>
          </w:p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Заместитель директора – главный инженер филиала ПАО «</w:t>
            </w:r>
            <w:r>
              <w:rPr>
                <w:b/>
              </w:rPr>
              <w:t xml:space="preserve">Россети</w:t>
            </w:r>
            <w:r>
              <w:rPr>
                <w:b/>
              </w:rPr>
              <w:t xml:space="preserve"> Урал» - «Челябэнерго» </w:t>
            </w:r>
            <w:r>
              <w:rPr>
                <w:b/>
              </w:rPr>
            </w:r>
            <w:r/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/>
          </w:p>
          <w:p>
            <w:pPr>
              <w:jc w:val="right"/>
              <w:rPr>
                <w:b/>
              </w:rPr>
            </w:pPr>
            <w:r>
              <w:rPr>
                <w:b/>
              </w:rPr>
              <w:t xml:space="preserve"> __________________________В.А. Обвинцев</w:t>
            </w:r>
            <w:r>
              <w:rPr>
                <w:b/>
              </w:rPr>
            </w:r>
            <w:r/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/>
          </w:p>
          <w:p>
            <w:pPr>
              <w:jc w:val="right"/>
              <w:rPr>
                <w:highlight w:val="none"/>
              </w:rPr>
            </w:pPr>
            <w:r>
              <w:rPr>
                <w:b/>
              </w:rPr>
              <w:t xml:space="preserve"> «_____» ________________202</w:t>
            </w:r>
            <w:r>
              <w:rPr>
                <w:b/>
              </w:rPr>
              <w:t xml:space="preserve">6</w:t>
            </w:r>
            <w:r>
              <w:rPr>
                <w:b/>
              </w:rPr>
              <w:t xml:space="preserve"> </w:t>
            </w:r>
            <w:r>
              <w:rPr>
                <w:highlight w:val="none"/>
              </w:rPr>
            </w:r>
            <w:r/>
          </w:p>
        </w:tc>
      </w:tr>
    </w:tbl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b/>
          <w:highlight w:val="none"/>
        </w:rPr>
        <w:tab/>
      </w:r>
      <w:r>
        <w:rPr>
          <w:b/>
          <w:highlight w:val="none"/>
        </w:rPr>
        <w:tab/>
      </w:r>
      <w:r>
        <w:rPr>
          <w:highlight w:val="none"/>
        </w:rPr>
      </w:r>
      <w:r/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ab/>
      </w:r>
      <w:r>
        <w:rPr>
          <w:highlight w:val="none"/>
        </w:rPr>
      </w:r>
      <w:r/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1083" w:hanging="1083"/>
        <w:tabs>
          <w:tab w:val="left" w:pos="5746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left="1083" w:hanging="1083"/>
        <w:tabs>
          <w:tab w:val="left" w:pos="574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pStyle w:val="1001"/>
        <w:jc w:val="center"/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  <w:t xml:space="preserve">ТЕХНИЧЕСКОЕ ЗАДАНИЕ</w:t>
      </w:r>
      <w:r>
        <w:rPr>
          <w:rFonts w:ascii="Times New Roman" w:hAnsi="Times New Roman" w:eastAsia="SimSun" w:cs="Times New Roman"/>
          <w:b/>
          <w:bCs/>
          <w:iCs/>
          <w:color w:val="auto"/>
          <w:sz w:val="28"/>
          <w:szCs w:val="28"/>
          <w:highlight w:val="none"/>
        </w:rPr>
      </w:r>
      <w:r/>
    </w:p>
    <w:p>
      <w:pPr>
        <w:pStyle w:val="1024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pStyle w:val="1024"/>
        <w:jc w:val="center"/>
        <w:rPr>
          <w:b/>
          <w:highlight w:val="none"/>
        </w:rPr>
      </w:pPr>
      <w:r>
        <w:rPr>
          <w:b/>
          <w:highlight w:val="none"/>
        </w:rPr>
        <w:t xml:space="preserve">для организации и проведения сравнения цен в электронной форме, </w:t>
      </w:r>
      <w:r>
        <w:rPr>
          <w:b/>
          <w:highlight w:val="none"/>
        </w:rPr>
        <w:t xml:space="preserve">участниками которого могут быть только субъекты МСП</w:t>
      </w:r>
      <w:r>
        <w:rPr>
          <w:b/>
          <w:highlight w:val="none"/>
        </w:rPr>
      </w:r>
      <w:r/>
    </w:p>
    <w:p>
      <w:pPr>
        <w:pStyle w:val="1024"/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pStyle w:val="1024"/>
        <w:jc w:val="center"/>
        <w:rPr>
          <w:b/>
          <w:highlight w:val="none"/>
        </w:rPr>
      </w:pPr>
      <w:r>
        <w:rPr>
          <w:highlight w:val="none"/>
        </w:rPr>
      </w:r>
      <w:r>
        <w:rPr>
          <w:b/>
          <w:highlight w:val="none"/>
        </w:rPr>
        <w:t xml:space="preserve">на </w:t>
      </w:r>
      <w:r>
        <w:rPr>
          <w:b/>
          <w:highlight w:val="none"/>
        </w:rPr>
        <w:t xml:space="preserve">право заключения договора</w:t>
      </w:r>
      <w:r>
        <w:rPr>
          <w:b/>
          <w:highlight w:val="none"/>
        </w:rPr>
        <w:t xml:space="preserve"> на поставку </w:t>
      </w:r>
      <w:r>
        <w:rPr>
          <w:b/>
          <w:highlight w:val="none"/>
        </w:rPr>
        <w:t xml:space="preserve">комплектующих для штукатурных работ и выравнивания полов (ЧЭ)</w:t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center"/>
        <w:rPr>
          <w:b/>
          <w:highlight w:val="none"/>
        </w:rPr>
      </w:pPr>
      <w:r>
        <w:rPr>
          <w:b/>
          <w:highlight w:val="none"/>
        </w:rPr>
        <w:t xml:space="preserve">г. Челябинск</w:t>
      </w:r>
      <w:r>
        <w:rPr>
          <w:b/>
          <w:highlight w:val="none"/>
        </w:rPr>
      </w:r>
      <w:r/>
    </w:p>
    <w:p>
      <w:pPr>
        <w:jc w:val="center"/>
        <w:rPr>
          <w:b/>
          <w:highlight w:val="none"/>
        </w:rPr>
        <w:sectPr>
          <w:headerReference w:type="default" r:id="rId9"/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  <w:highlight w:val="none"/>
        </w:rPr>
        <w:t xml:space="preserve">2026 год</w:t>
      </w:r>
      <w:r>
        <w:rPr>
          <w:b/>
          <w:highlight w:val="none"/>
        </w:rPr>
      </w:r>
      <w:r/>
    </w:p>
    <w:p>
      <w:pPr>
        <w:pStyle w:val="1021"/>
        <w:numPr>
          <w:ilvl w:val="0"/>
          <w:numId w:val="20"/>
        </w:numPr>
        <w:jc w:val="both"/>
        <w:tabs>
          <w:tab w:val="left" w:pos="426" w:leader="none"/>
          <w:tab w:val="left" w:pos="709" w:leader="none"/>
        </w:tabs>
        <w:rPr>
          <w:i/>
          <w:highlight w:val="none"/>
        </w:rPr>
      </w:pPr>
      <w:r>
        <w:rPr>
          <w:rFonts w:eastAsia="SimSun"/>
          <w:b/>
          <w:bCs/>
          <w:iCs/>
          <w:highlight w:val="none"/>
        </w:rPr>
        <w:t xml:space="preserve">Общие сведения о предмете </w:t>
      </w:r>
      <w:r>
        <w:rPr>
          <w:rFonts w:eastAsia="SimSun"/>
          <w:b/>
          <w:bCs/>
          <w:iCs/>
          <w:highlight w:val="none"/>
        </w:rPr>
        <w:t xml:space="preserve">сравнения цен</w:t>
      </w:r>
      <w:r>
        <w:rPr>
          <w:rFonts w:eastAsia="SimSun"/>
          <w:b/>
          <w:bCs/>
          <w:iCs/>
          <w:highlight w:val="none"/>
        </w:rPr>
        <w:t xml:space="preserve"> в электронной форме, </w:t>
      </w:r>
      <w:r>
        <w:rPr>
          <w:rFonts w:eastAsia="SimSun"/>
          <w:b/>
          <w:bCs/>
          <w:iCs/>
          <w:highlight w:val="none"/>
        </w:rPr>
        <w:t xml:space="preserve">участниками которого могут быть только субъекты МСП (далее - закупка):</w:t>
      </w:r>
      <w:r>
        <w:rPr>
          <w:i/>
          <w:highlight w:val="none"/>
        </w:rPr>
      </w:r>
      <w:r/>
    </w:p>
    <w:p>
      <w:pPr>
        <w:pStyle w:val="1001"/>
        <w:jc w:val="both"/>
        <w:keepLines w:val="0"/>
        <w:keepNext w:val="0"/>
        <w:spacing w:before="0"/>
        <w:tabs>
          <w:tab w:val="left" w:pos="284" w:leader="none"/>
        </w:tabs>
        <w:rPr>
          <w:rFonts w:eastAsia="SimSun"/>
          <w:highlight w:val="none"/>
        </w:rPr>
      </w:pPr>
      <w:r>
        <w:rPr>
          <w:rFonts w:eastAsia="SimSun"/>
          <w:highlight w:val="none"/>
        </w:rPr>
      </w:r>
      <w:r>
        <w:rPr>
          <w:rFonts w:eastAsia="SimSun"/>
          <w:highlight w:val="none"/>
        </w:rPr>
      </w:r>
      <w:r/>
    </w:p>
    <w:p>
      <w:pPr>
        <w:pStyle w:val="1021"/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Предмет закупки:</w:t>
      </w:r>
      <w:r>
        <w:rPr>
          <w:b/>
          <w:highlight w:val="none"/>
        </w:rPr>
      </w:r>
      <w:r/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  <w:t xml:space="preserve">Право заключения договор</w:t>
      </w:r>
      <w:r>
        <w:rPr>
          <w:highlight w:val="none"/>
        </w:rPr>
        <w:t xml:space="preserve">а</w:t>
      </w:r>
      <w:r>
        <w:rPr>
          <w:highlight w:val="none"/>
        </w:rPr>
        <w:t xml:space="preserve"> на поставку </w:t>
      </w:r>
      <w:r>
        <w:rPr>
          <w:highlight w:val="none"/>
        </w:rPr>
        <w:t xml:space="preserve">комплектующих для штукатурных работ и выравнивания полов (ЧЭ)</w:t>
      </w:r>
      <w:r>
        <w:rPr>
          <w:highlight w:val="none"/>
        </w:rPr>
      </w:r>
      <w:r/>
    </w:p>
    <w:p>
      <w:pPr>
        <w:jc w:val="both"/>
        <w:tabs>
          <w:tab w:val="left" w:pos="426" w:leader="none"/>
          <w:tab w:val="left" w:pos="8931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  <w:t xml:space="preserve">Основание для проведения закупки:</w:t>
      </w:r>
      <w:r>
        <w:rPr>
          <w:b/>
          <w:highlight w:val="none"/>
        </w:rPr>
      </w:r>
      <w:r/>
    </w:p>
    <w:p>
      <w:pPr>
        <w:jc w:val="both"/>
        <w:tabs>
          <w:tab w:val="left" w:pos="426" w:leader="none"/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Выписка из протокола ЦЗО № </w:t>
      </w:r>
      <w:r>
        <w:rPr>
          <w:highlight w:val="none"/>
        </w:rPr>
        <w:t xml:space="preserve">10-07/2</w:t>
      </w:r>
      <w:r>
        <w:rPr>
          <w:highlight w:val="none"/>
        </w:rPr>
        <w:t xml:space="preserve"> от 13.07.2026</w:t>
      </w:r>
      <w:r>
        <w:rPr>
          <w:highlight w:val="none"/>
        </w:rPr>
      </w:r>
      <w:r/>
    </w:p>
    <w:p>
      <w:pPr>
        <w:jc w:val="both"/>
        <w:tabs>
          <w:tab w:val="left" w:pos="426" w:leader="none"/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highlight w:val="none"/>
        </w:rPr>
      </w:pPr>
      <w:r>
        <w:rPr>
          <w:b/>
          <w:highlight w:val="none"/>
        </w:rPr>
        <w:t xml:space="preserve">Заказчик: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 (филиал «</w:t>
      </w:r>
      <w:r>
        <w:rPr>
          <w:highlight w:val="none"/>
        </w:rPr>
        <w:t xml:space="preserve">Челябэнерго</w:t>
      </w:r>
      <w:r>
        <w:rPr>
          <w:highlight w:val="none"/>
        </w:rPr>
        <w:t xml:space="preserve">»)</w:t>
      </w:r>
      <w:r>
        <w:rPr>
          <w:highlight w:val="none"/>
        </w:rPr>
      </w:r>
      <w:r/>
    </w:p>
    <w:p>
      <w:pPr>
        <w:ind w:left="450" w:firstLine="0"/>
        <w:jc w:val="both"/>
        <w:tabs>
          <w:tab w:val="left" w:pos="426" w:leader="none"/>
          <w:tab w:val="left" w:pos="709" w:leader="none"/>
        </w:tabs>
        <w:rPr>
          <w:b/>
          <w:bCs/>
          <w:highlight w:val="none"/>
        </w:rPr>
      </w:pPr>
      <w:r>
        <w:rPr>
          <w:highlight w:val="none"/>
        </w:rPr>
        <w:t xml:space="preserve">.</w:t>
      </w:r>
      <w:r>
        <w:rPr>
          <w:b/>
          <w:bCs/>
          <w:highlight w:val="none"/>
        </w:rPr>
      </w:r>
      <w:r/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b/>
          <w:highlight w:val="none"/>
        </w:rPr>
        <w:t xml:space="preserve">Место</w:t>
      </w:r>
      <w:r>
        <w:rPr>
          <w:highlight w:val="none"/>
        </w:rPr>
        <w:t xml:space="preserve"> </w:t>
      </w:r>
      <w:r>
        <w:rPr>
          <w:b/>
          <w:highlight w:val="none"/>
        </w:rPr>
        <w:t xml:space="preserve">поставки</w:t>
      </w:r>
      <w:r>
        <w:rPr>
          <w:b/>
          <w:highlight w:val="none"/>
        </w:rPr>
        <w:t xml:space="preserve">: </w:t>
      </w:r>
      <w:r>
        <w:t xml:space="preserve">Территория</w:t>
      </w:r>
      <w:r>
        <w:t xml:space="preserve"> Челябинской области</w:t>
      </w:r>
      <w:r>
        <w:rPr>
          <w:rFonts w:eastAsia="MS Mincho"/>
          <w:highlight w:val="none"/>
        </w:rPr>
      </w:r>
      <w:r/>
    </w:p>
    <w:p>
      <w:pPr>
        <w:jc w:val="both"/>
        <w:tabs>
          <w:tab w:val="left" w:pos="426" w:leader="none"/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</w:r>
      <w:r>
        <w:rPr>
          <w:rFonts w:eastAsia="MS Mincho"/>
          <w:highlight w:val="none"/>
        </w:rPr>
      </w:r>
      <w:r/>
    </w:p>
    <w:p>
      <w:pPr>
        <w:pStyle w:val="1021"/>
        <w:numPr>
          <w:ilvl w:val="1"/>
          <w:numId w:val="20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Срок поставки</w:t>
      </w:r>
      <w:r>
        <w:rPr>
          <w:rStyle w:val="1045"/>
          <w:b/>
          <w:bCs/>
          <w:highlight w:val="none"/>
        </w:rPr>
        <w:footnoteReference w:id="2"/>
      </w:r>
      <w:r>
        <w:rPr>
          <w:b/>
          <w:bCs/>
          <w:highlight w:val="none"/>
        </w:rPr>
        <w:t xml:space="preserve">: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</w:r>
      <w:r/>
    </w:p>
    <w:p>
      <w:pPr>
        <w:pStyle w:val="1021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</w:r>
      <w:r>
        <w:t xml:space="preserve">Потребность</w:t>
      </w:r>
      <w:r>
        <w:t xml:space="preserve"> 1-4</w:t>
      </w:r>
      <w:r>
        <w:t xml:space="preserve"> квартала 2026</w:t>
      </w:r>
      <w:r>
        <w:t xml:space="preserve">: </w:t>
      </w:r>
      <w:r>
        <w:t xml:space="preserve">в течение </w:t>
      </w:r>
      <w:r>
        <w:t xml:space="preserve">3</w:t>
      </w:r>
      <w:r>
        <w:t xml:space="preserve">0</w:t>
      </w:r>
      <w:r>
        <w:t xml:space="preserve"> календарных дней с момента заключения договора</w:t>
      </w:r>
      <w:r>
        <w:t xml:space="preserve">.</w:t>
      </w:r>
      <w:r>
        <w:rPr>
          <w:highlight w:val="none"/>
        </w:rPr>
      </w:r>
      <w:r/>
    </w:p>
    <w:p>
      <w:pPr>
        <w:pStyle w:val="1021"/>
        <w:ind w:left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21"/>
        <w:numPr>
          <w:ilvl w:val="2"/>
          <w:numId w:val="20"/>
        </w:numPr>
        <w:ind w:left="0" w:firstLine="0"/>
        <w:jc w:val="both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Участник закупки должен </w:t>
      </w:r>
      <w:r>
        <w:rPr>
          <w:highlight w:val="none"/>
        </w:rPr>
        <w:t xml:space="preserve">осуществить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поставку продукции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требуемых объемах и </w:t>
      </w:r>
      <w:r>
        <w:rPr>
          <w:highlight w:val="none"/>
        </w:rPr>
        <w:t xml:space="preserve">не позднее </w:t>
      </w:r>
      <w:r>
        <w:rPr>
          <w:highlight w:val="none"/>
        </w:rPr>
        <w:t xml:space="preserve">сроков</w:t>
      </w:r>
      <w:r>
        <w:rPr>
          <w:highlight w:val="none"/>
        </w:rPr>
        <w:t xml:space="preserve">, приведенных в </w:t>
      </w:r>
      <w:r>
        <w:rPr>
          <w:highlight w:val="none"/>
        </w:rPr>
        <w:t xml:space="preserve">Ценовом предложении (Приложение №4</w:t>
      </w:r>
      <w:r>
        <w:rPr>
          <w:highlight w:val="none"/>
        </w:rPr>
        <w:t xml:space="preserve"> </w:t>
      </w:r>
      <w:r>
        <w:rPr>
          <w:highlight w:val="none"/>
        </w:rPr>
        <w:t xml:space="preserve">к </w:t>
      </w:r>
      <w:r>
        <w:rPr>
          <w:highlight w:val="none"/>
        </w:rPr>
        <w:t xml:space="preserve">Техническому заданию</w:t>
      </w:r>
      <w:r>
        <w:rPr>
          <w:highlight w:val="none"/>
        </w:rPr>
        <w:t xml:space="preserve">). Заявки, не обеспечивающие </w:t>
      </w:r>
      <w:r>
        <w:rPr>
          <w:highlight w:val="none"/>
        </w:rPr>
        <w:t xml:space="preserve">поставку продукции </w:t>
      </w:r>
      <w:r>
        <w:rPr>
          <w:highlight w:val="none"/>
        </w:rPr>
        <w:t xml:space="preserve">в указанные сроки, к участию в закупке не допускаются.</w:t>
      </w:r>
      <w:r>
        <w:rPr>
          <w:highlight w:val="none"/>
        </w:rPr>
      </w:r>
      <w:r/>
    </w:p>
    <w:p>
      <w:pPr>
        <w:jc w:val="both"/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Источник финансирования: </w:t>
      </w:r>
      <w:r>
        <w:rPr>
          <w:highlight w:val="none"/>
        </w:rPr>
        <w:t xml:space="preserve">себестоимость.</w:t>
      </w:r>
      <w:r>
        <w:rPr>
          <w:b/>
          <w:highlight w:val="none"/>
        </w:rPr>
      </w:r>
      <w:r/>
    </w:p>
    <w:p>
      <w:pPr>
        <w:ind w:left="450" w:firstLine="0"/>
        <w:jc w:val="both"/>
        <w:tabs>
          <w:tab w:val="left" w:pos="426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/>
    </w:p>
    <w:p>
      <w:pPr>
        <w:numPr>
          <w:ilvl w:val="1"/>
          <w:numId w:val="20"/>
        </w:numPr>
        <w:ind w:left="0" w:firstLine="0"/>
        <w:jc w:val="both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Ценовые показатели:</w:t>
      </w:r>
      <w:r>
        <w:rPr>
          <w:b/>
          <w:highlight w:val="none"/>
        </w:rPr>
      </w:r>
      <w:r/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805"/>
      </w:tblGrid>
      <w:tr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закупка/лот (</w:t>
            </w:r>
            <w:r>
              <w:rPr>
                <w:sz w:val="20"/>
                <w:szCs w:val="20"/>
                <w:highlight w:val="none"/>
                <w:lang w:val="en-US"/>
              </w:rPr>
              <w:t xml:space="preserve">ID</w:t>
            </w:r>
            <w:r>
              <w:rPr>
                <w:sz w:val="20"/>
                <w:szCs w:val="20"/>
                <w:highlight w:val="none"/>
              </w:rPr>
              <w:t xml:space="preserve"> заявки)</w:t>
            </w:r>
            <w:r>
              <w:rPr>
                <w:sz w:val="20"/>
                <w:szCs w:val="20"/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лота</w:t>
            </w:r>
            <w:r>
              <w:rPr>
                <w:sz w:val="20"/>
                <w:szCs w:val="20"/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0"/>
                <w:szCs w:val="20"/>
                <w:highlight w:val="none"/>
              </w:rPr>
              <w:t xml:space="preserve">в т.ч. НДС, </w:t>
            </w:r>
            <w:r>
              <w:rPr>
                <w:sz w:val="20"/>
                <w:szCs w:val="20"/>
                <w:highlight w:val="none"/>
              </w:rPr>
            </w:r>
            <w:r/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%</w:t>
            </w:r>
            <w:r>
              <w:rPr>
                <w:sz w:val="20"/>
                <w:szCs w:val="20"/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Код ОКПД2</w:t>
            </w:r>
            <w:r>
              <w:rPr>
                <w:sz w:val="20"/>
                <w:szCs w:val="20"/>
                <w:highlight w:val="none"/>
              </w:rPr>
            </w:r>
            <w:r/>
          </w:p>
        </w:tc>
      </w:tr>
      <w:tr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 59850</w:t>
            </w:r>
            <w:r>
              <w:rPr>
                <w:sz w:val="20"/>
                <w:szCs w:val="20"/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</w:r>
            <w:r>
              <w:rPr>
                <w:highlight w:val="none"/>
              </w:rPr>
              <w:t xml:space="preserve">поставка </w:t>
            </w:r>
            <w:r>
              <w:rPr>
                <w:highlight w:val="none"/>
              </w:rPr>
              <w:t xml:space="preserve">комплектующих для штукатурных работ и выравнивания полов (ЧЭ)</w:t>
            </w:r>
            <w:r>
              <w:rPr>
                <w:sz w:val="20"/>
                <w:szCs w:val="20"/>
                <w:highlight w:val="none"/>
              </w:rPr>
              <w:t xml:space="preserve"> </w:t>
            </w:r>
            <w:r>
              <w:rPr>
                <w:sz w:val="20"/>
                <w:szCs w:val="20"/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101 672,36</w:t>
            </w:r>
            <w:r>
              <w:rPr>
                <w:sz w:val="20"/>
                <w:szCs w:val="20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22%</w:t>
            </w:r>
            <w:r>
              <w:rPr>
                <w:sz w:val="20"/>
                <w:szCs w:val="20"/>
                <w:highlight w:val="none"/>
              </w:rPr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25.99.29.190</w:t>
            </w:r>
            <w:r>
              <w:rPr>
                <w:sz w:val="20"/>
                <w:szCs w:val="20"/>
                <w:highlight w:val="none"/>
              </w:rPr>
            </w:r>
            <w:r/>
          </w:p>
        </w:tc>
      </w:tr>
    </w:tbl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  <w:tab/>
      </w:r>
      <w:r>
        <w:rPr>
          <w:highlight w:val="none"/>
        </w:rPr>
        <w:t xml:space="preserve">Начальная (максимальная) ц</w:t>
      </w:r>
      <w:r>
        <w:rPr>
          <w:highlight w:val="none"/>
        </w:rP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>
        <w:rPr>
          <w:highlight w:val="none"/>
        </w:rPr>
      </w:r>
      <w:r/>
    </w:p>
    <w:p>
      <w:pPr>
        <w:jc w:val="both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21"/>
        <w:numPr>
          <w:ilvl w:val="1"/>
          <w:numId w:val="20"/>
        </w:numPr>
        <w:ind w:left="0" w:firstLine="0"/>
        <w:jc w:val="both"/>
        <w:widowControl w:val="off"/>
        <w:tabs>
          <w:tab w:val="num" w:pos="426" w:leader="none"/>
        </w:tabs>
        <w:rPr>
          <w:highlight w:val="none"/>
        </w:rPr>
      </w:pPr>
      <w:r>
        <w:rPr>
          <w:b/>
          <w:highlight w:val="none"/>
        </w:rPr>
        <w:t xml:space="preserve">Условия оплаты:</w:t>
      </w:r>
      <w:r>
        <w:rPr>
          <w:highlight w:val="none"/>
        </w:rPr>
      </w:r>
      <w:r/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  <w:t xml:space="preserve">Оплата производится за продукцию по безналичному расчету путем перечисления денежных средств на расчетный счет Поставщика в течение </w:t>
      </w:r>
      <w:r>
        <w:rPr>
          <w:highlight w:val="none"/>
        </w:rPr>
        <w:t xml:space="preserve">7 (семи)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рабочих </w:t>
      </w:r>
      <w:r>
        <w:rPr>
          <w:highlight w:val="none"/>
        </w:rPr>
        <w:t xml:space="preserve">дней со дня подписания Покупателем (Грузополучателем) документа о приемке продукции при наличии подписанного Сторонами Договора поставки продукции в оригинале, в соответствии с п.2.4. Договора (Приложение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 настоящему ТЗ).</w:t>
      </w:r>
      <w:r>
        <w:rPr>
          <w:highlight w:val="none"/>
        </w:rPr>
      </w:r>
      <w:r/>
    </w:p>
    <w:p>
      <w:pPr>
        <w:jc w:val="both"/>
        <w:widowControl w:val="off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09"/>
        <w:numPr>
          <w:ilvl w:val="1"/>
          <w:numId w:val="20"/>
        </w:numPr>
        <w:jc w:val="both"/>
        <w:widowControl w:val="off"/>
        <w:rPr>
          <w:b/>
          <w:sz w:val="24"/>
          <w:highlight w:val="none"/>
        </w:rPr>
      </w:pPr>
      <w:r>
        <w:rPr>
          <w:b/>
          <w:sz w:val="24"/>
          <w:highlight w:val="none"/>
        </w:rPr>
        <w:t xml:space="preserve">Требования, предъявляемые к поставке продукции:</w:t>
      </w:r>
      <w:r>
        <w:rPr>
          <w:b/>
          <w:sz w:val="24"/>
          <w:highlight w:val="none"/>
        </w:rPr>
      </w:r>
      <w:r/>
    </w:p>
    <w:p>
      <w:pPr>
        <w:pStyle w:val="1021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Поставка продукции осуществляется автомобильным транспортном в адрес Грузополучателей силами и за счёт Поставщика в соответствии с объемом,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</w:t>
      </w:r>
      <w:r>
        <w:rPr>
          <w:highlight w:val="none"/>
        </w:rPr>
        <w:t xml:space="preserve">. Досрочная поставка продукции и иные способы отгрузки могут производиться только по письменному согласованию с Заказчиком.</w:t>
      </w:r>
      <w:r>
        <w:rPr>
          <w:highlight w:val="none"/>
        </w:rPr>
      </w:r>
      <w:r/>
    </w:p>
    <w:p>
      <w:pPr>
        <w:pStyle w:val="1021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Поставляемая продукция должна быть упакована соо</w:t>
      </w:r>
      <w:r>
        <w:rPr>
          <w:highlight w:val="none"/>
        </w:rPr>
        <w:t xml:space="preserve">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изготовителем, а также должна быть рассортирована и доставлена в объеме и номенклатуре, указанным в приложении 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в производственные отделения филиалов </w:t>
      </w:r>
      <w:r>
        <w:rPr>
          <w:highlight w:val="none"/>
        </w:rPr>
        <w:t xml:space="preserve">П</w:t>
      </w:r>
      <w:r>
        <w:rPr>
          <w:highlight w:val="none"/>
        </w:rPr>
        <w:t xml:space="preserve">АО «</w:t>
      </w:r>
      <w:r>
        <w:rPr>
          <w:highlight w:val="none"/>
        </w:rPr>
        <w:t xml:space="preserve">Россети Урал</w:t>
      </w:r>
      <w:r>
        <w:rPr>
          <w:highlight w:val="none"/>
        </w:rPr>
        <w:t xml:space="preserve">», согласно реквизитов Грузополучателей, указанных в приложении №</w:t>
      </w:r>
      <w:r>
        <w:rPr>
          <w:highlight w:val="none"/>
        </w:rPr>
        <w:t xml:space="preserve">3</w:t>
      </w:r>
      <w:r>
        <w:rPr>
          <w:highlight w:val="none"/>
        </w:rPr>
        <w:t xml:space="preserve"> к настоящему ТЗ, в установленные сроки. </w:t>
      </w:r>
      <w:r>
        <w:rPr>
          <w:highlight w:val="none"/>
        </w:rPr>
      </w:r>
      <w:r/>
    </w:p>
    <w:p>
      <w:pPr>
        <w:pStyle w:val="1021"/>
        <w:numPr>
          <w:ilvl w:val="2"/>
          <w:numId w:val="20"/>
        </w:numPr>
        <w:ind w:left="0" w:firstLine="0"/>
        <w:jc w:val="both"/>
        <w:widowControl w:val="off"/>
        <w:rPr>
          <w:highlight w:val="none"/>
        </w:rPr>
      </w:pPr>
      <w:r>
        <w:rPr>
          <w:highlight w:val="none"/>
        </w:rPr>
        <w:t xml:space="preserve">Вместе с поставкой продукции должна быть предоставлена соответствующая техническая документация (паспорта, инструкции и пр.), копии сертификатов, заверенные Поставщиком. </w:t>
      </w:r>
      <w:r>
        <w:rPr>
          <w:highlight w:val="none"/>
        </w:rPr>
      </w:r>
      <w:r/>
    </w:p>
    <w:p>
      <w:pPr>
        <w:pStyle w:val="1021"/>
        <w:ind w:left="480"/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pStyle w:val="1021"/>
        <w:numPr>
          <w:ilvl w:val="1"/>
          <w:numId w:val="20"/>
        </w:numPr>
        <w:jc w:val="both"/>
        <w:widowControl w:val="off"/>
        <w:tabs>
          <w:tab w:val="left" w:pos="426" w:leader="none"/>
        </w:tabs>
        <w:rPr>
          <w:b/>
          <w:highlight w:val="none"/>
        </w:rPr>
      </w:pPr>
      <w:r>
        <w:rPr>
          <w:b/>
          <w:highlight w:val="none"/>
        </w:rPr>
        <w:t xml:space="preserve">Требования, предъявляемые к продукции:</w:t>
      </w:r>
      <w:r>
        <w:rPr>
          <w:b/>
          <w:highlight w:val="none"/>
        </w:rPr>
      </w:r>
      <w:r/>
    </w:p>
    <w:p>
      <w:pPr>
        <w:pStyle w:val="102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Продукция, указанная в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риложении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highlight w:val="none"/>
        </w:rPr>
        <w:t xml:space="preserve">по качеству должна соответствовать требованиям ГОСТ и ТУ, иметь сертификаты соответствия качества</w:t>
      </w:r>
      <w:r>
        <w:rPr>
          <w:highlight w:val="none"/>
        </w:rPr>
        <w:t xml:space="preserve"> завода-изготовителя, сертификаты соответствия Госстандарта России, декларации о соответствии, сертификаты происхождения, санитарно-эпидемиологические заключения, пожарные сертификаты, если продукция подлежит сертификации, паспорта на каждую партию продукц</w:t>
      </w:r>
      <w:r>
        <w:rPr>
          <w:highlight w:val="none"/>
        </w:rPr>
        <w:t xml:space="preserve">ии. Продукция не должна иметь дефектов, связанных с конструкцией, материалами или работоспособностью, либо скрытых дефектов, проявляющихся в результате действия Заказчика (использование продукции) при допустимой эксплуатации в условиях обычных для России. </w:t>
      </w:r>
      <w:r>
        <w:rPr>
          <w:highlight w:val="none"/>
        </w:rPr>
      </w:r>
      <w:r/>
    </w:p>
    <w:p>
      <w:pPr>
        <w:ind w:firstLine="709"/>
        <w:jc w:val="both"/>
        <w:widowControl w:val="off"/>
        <w:rPr>
          <w:highlight w:val="none"/>
        </w:rPr>
      </w:pPr>
      <w:r>
        <w:rPr>
          <w:highlight w:val="none"/>
        </w:rPr>
        <w:t xml:space="preserve">Поставляемые материалы и оборудование должны соответствовать техническим требованиям ПАО «Россети» и иметь копию заключения о Проверке качества, подтверждающего возможность применени</w:t>
      </w:r>
      <w:r>
        <w:rPr>
          <w:highlight w:val="none"/>
        </w:rPr>
        <w:t xml:space="preserve">я проду</w:t>
      </w:r>
      <w:r>
        <w:rPr>
          <w:highlight w:val="none"/>
        </w:rPr>
        <w:t xml:space="preserve">кции на объектах группы компаний «Россети» либо подтверждение включения продукции в Перечень допущенного оборудования, либо подтверждение положительной либо завершенной Проверки качества продукции на момент поставки оборудования (В соответствии с п. 4.2.4 </w:t>
      </w:r>
      <w:r>
        <w:rPr>
          <w:highlight w:val="none"/>
        </w:rPr>
        <w:t xml:space="preserve">Договора - </w:t>
      </w:r>
      <w:r>
        <w:rPr>
          <w:highlight w:val="none"/>
        </w:rPr>
        <w:t xml:space="preserve">Приложение №</w:t>
      </w:r>
      <w:r>
        <w:rPr>
          <w:highlight w:val="none"/>
        </w:rPr>
        <w:t xml:space="preserve">2</w:t>
      </w:r>
      <w:r>
        <w:rPr>
          <w:highlight w:val="none"/>
        </w:rPr>
        <w:t xml:space="preserve"> к</w:t>
      </w:r>
      <w:r>
        <w:rPr>
          <w:highlight w:val="none"/>
        </w:rPr>
        <w:t xml:space="preserve"> настоящему ТЗ)</w:t>
      </w:r>
      <w:r>
        <w:rPr>
          <w:highlight w:val="none"/>
          <w:vertAlign w:val="superscript"/>
        </w:rPr>
        <w:t xml:space="preserve">[</w:t>
      </w:r>
      <w:r>
        <w:rPr>
          <w:rStyle w:val="1045"/>
          <w:highlight w:val="none"/>
        </w:rPr>
        <w:footnoteReference w:id="3"/>
      </w:r>
      <w:r>
        <w:rPr>
          <w:highlight w:val="none"/>
          <w:vertAlign w:val="superscript"/>
        </w:rPr>
        <w:t xml:space="preserve">]</w:t>
      </w:r>
      <w:r>
        <w:rPr>
          <w:highlight w:val="none"/>
        </w:rPr>
        <w:t xml:space="preserve">. </w:t>
      </w:r>
      <w:r>
        <w:rPr>
          <w:highlight w:val="none"/>
        </w:rPr>
      </w:r>
      <w:r/>
    </w:p>
    <w:p>
      <w:pPr>
        <w:pStyle w:val="102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Вся поставляемая продукция по техническим характеристикам должна соответствовать опросным листам, чертежам, приложенным к приложению </w:t>
      </w:r>
      <w:r>
        <w:rPr>
          <w:highlight w:val="none"/>
        </w:rPr>
        <w:t xml:space="preserve">№</w:t>
      </w:r>
      <w:r>
        <w:rPr>
          <w:highlight w:val="none"/>
        </w:rPr>
        <w:t xml:space="preserve">4</w:t>
      </w:r>
      <w:r>
        <w:rPr>
          <w:highlight w:val="none"/>
        </w:rPr>
        <w:t xml:space="preserve"> к настоящему ТЗ </w:t>
      </w:r>
      <w:r>
        <w:rPr>
          <w:rFonts w:eastAsia="Calibri"/>
          <w:highlight w:val="none"/>
          <w:lang w:eastAsia="en-US"/>
        </w:rPr>
        <w:t xml:space="preserve">(при условии их наличия в ТЗ)</w:t>
      </w:r>
      <w:r>
        <w:rPr>
          <w:highlight w:val="none"/>
        </w:rPr>
        <w:t xml:space="preserve">.</w:t>
      </w:r>
      <w:r>
        <w:rPr>
          <w:highlight w:val="none"/>
        </w:rPr>
      </w:r>
      <w:r/>
    </w:p>
    <w:p>
      <w:pPr>
        <w:pStyle w:val="1021"/>
        <w:numPr>
          <w:ilvl w:val="2"/>
          <w:numId w:val="20"/>
        </w:numPr>
        <w:ind w:left="0" w:firstLine="0"/>
        <w:jc w:val="both"/>
        <w:rPr>
          <w:highlight w:val="none"/>
        </w:rPr>
      </w:pPr>
      <w:r>
        <w:rPr>
          <w:highlight w:val="none"/>
        </w:rPr>
        <w:t xml:space="preserve">Участник имеет пр</w:t>
      </w:r>
      <w:r>
        <w:rPr>
          <w:highlight w:val="none"/>
        </w:rPr>
        <w:t xml:space="preserve">аво предложить эквивалент заказываемой продукции, соответствующий техническим требованиям Заказчика, с предоставлением документов, подтверждающих соответствие параметров эквивалента техническим требованиям заказываемой продукции и опросным листам, чертежам</w:t>
      </w:r>
      <w:r>
        <w:rPr>
          <w:highlight w:val="none"/>
        </w:rPr>
        <w:t xml:space="preserve">(при их наличии).</w:t>
      </w:r>
      <w:r>
        <w:rPr>
          <w:highlight w:val="none"/>
        </w:rPr>
        <w:t xml:space="preserve"> Решение о согласовании/не согласовании замены </w:t>
      </w:r>
      <w:r>
        <w:rPr>
          <w:highlight w:val="none"/>
        </w:rPr>
        <w:t xml:space="preserve">требуемой продукции аналогом принимается закупочной комиссией на этапе рассмотрения заявок Участников и отражается в соответствующем Протоколе.</w:t>
      </w:r>
      <w:r>
        <w:rPr>
          <w:highlight w:val="none"/>
        </w:rPr>
      </w:r>
      <w:r/>
    </w:p>
    <w:p>
      <w:pPr>
        <w:pStyle w:val="102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</w:t>
      </w:r>
      <w:r>
        <w:rPr>
          <w:highlight w:val="none"/>
        </w:rPr>
      </w:r>
      <w:r/>
    </w:p>
    <w:p>
      <w:pPr>
        <w:pStyle w:val="1021"/>
        <w:ind w:left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Поставляемые товары должны соответствовать требованиям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</w:t>
      </w:r>
      <w:r>
        <w:rPr>
          <w:highlight w:val="none"/>
        </w:rPr>
      </w:r>
      <w:r/>
    </w:p>
    <w:p>
      <w:pPr>
        <w:pStyle w:val="102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  <w:t xml:space="preserve">Продукция должна быть новой (ранее не использованной), являться серийной моделью, отражающей все последние модификации и не снятой с производства производителем на момент поставки. Срок изготовления не ранее 2026г.</w:t>
      </w:r>
      <w:r>
        <w:rPr>
          <w:highlight w:val="none"/>
        </w:rPr>
      </w:r>
      <w:r/>
    </w:p>
    <w:p>
      <w:pPr>
        <w:pStyle w:val="1021"/>
        <w:numPr>
          <w:ilvl w:val="2"/>
          <w:numId w:val="20"/>
        </w:numPr>
        <w:ind w:left="0" w:firstLine="0"/>
        <w:jc w:val="both"/>
        <w:widowControl w:val="off"/>
        <w:tabs>
          <w:tab w:val="left" w:pos="567" w:leader="none"/>
        </w:tabs>
        <w:rPr>
          <w:highlight w:val="none"/>
        </w:rPr>
      </w:pPr>
      <w:r>
        <w:rPr>
          <w:highlight w:val="none"/>
        </w:rPr>
      </w:r>
      <w:r>
        <w:rPr>
          <w:color w:val="000000" w:themeColor="text1"/>
        </w:rPr>
        <w:t xml:space="preserve">Технические требования к продукции:</w:t>
      </w:r>
      <w:r>
        <w:rPr>
          <w:highlight w:val="none"/>
        </w:rPr>
      </w:r>
      <w:r/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b w:val="0"/>
          <w:bCs w:val="0"/>
          <w:i w:val="0"/>
          <w:iCs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  <w:t xml:space="preserve">1.10.6.1. Гарантийный срок на поставляемую продукцию должен составлять не менее 1 (одного) года с момента поставки продукции на склад Грузополучателя.  </w:t>
      </w:r>
      <w:r>
        <w:rPr>
          <w:b w:val="0"/>
          <w:bCs w:val="0"/>
          <w:i w:val="0"/>
          <w:iCs w:val="0"/>
          <w:highlight w:val="none"/>
        </w:rPr>
      </w:r>
      <w:r/>
    </w:p>
    <w:p>
      <w:pPr>
        <w:pStyle w:val="1021"/>
        <w:numPr>
          <w:ilvl w:val="2"/>
          <w:numId w:val="20"/>
        </w:numPr>
        <w:ind w:left="0" w:hanging="11"/>
        <w:jc w:val="both"/>
        <w:tabs>
          <w:tab w:val="left" w:pos="993" w:leader="none"/>
        </w:tabs>
        <w:rPr>
          <w:rFonts w:eastAsiaTheme="minorHAnsi"/>
          <w:highlight w:val="none"/>
        </w:rPr>
      </w:pPr>
      <w:r/>
      <w:r/>
      <w:r>
        <w:rPr>
          <w:rFonts w:eastAsiaTheme="minorHAnsi"/>
          <w:highlight w:val="none"/>
          <w:lang w:eastAsia="en-US"/>
        </w:rPr>
        <w:t xml:space="preserve">В отношении продукции, </w:t>
      </w:r>
      <w:r>
        <w:rPr>
          <w:highlight w:val="none"/>
        </w:rPr>
        <w:t xml:space="preserve">указанной в приложении </w:t>
      </w:r>
      <w:r>
        <w:rPr>
          <w:highlight w:val="none"/>
        </w:rPr>
        <w:t xml:space="preserve">№4  к </w:t>
      </w:r>
      <w:r>
        <w:rPr>
          <w:rFonts w:eastAsia="Calibri"/>
          <w:highlight w:val="none"/>
          <w:lang w:eastAsia="en-US"/>
        </w:rPr>
        <w:t xml:space="preserve"> Техническому заданию</w:t>
      </w:r>
      <w:r>
        <w:rPr>
          <w:highlight w:val="none"/>
        </w:rPr>
        <w:t xml:space="preserve">, а именно </w:t>
      </w:r>
      <w:r>
        <w:rPr>
          <w:highlight w:val="none"/>
        </w:rPr>
        <w:t xml:space="preserve">позиции № 2, 5, 9, 12</w:t>
      </w:r>
      <w:r>
        <w:rPr>
          <w:rStyle w:val="1014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Постановлением Правительства Российской Федерации от 23 декабря 2024 г. № 1875</w:t>
      </w:r>
      <w:r>
        <w:rPr>
          <w:highlight w:val="none"/>
        </w:rPr>
        <w:t xml:space="preserve"> </w:t>
      </w:r>
      <w:r>
        <w:rPr>
          <w:highlight w:val="none"/>
        </w:rPr>
        <w:t xml:space="preserve"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</w:t>
      </w:r>
      <w:r>
        <w:rPr>
          <w:b/>
          <w:highlight w:val="none"/>
        </w:rPr>
        <w:t xml:space="preserve">установлено </w:t>
      </w:r>
      <w:r>
        <w:rPr>
          <w:rFonts w:eastAsiaTheme="minorHAnsi"/>
          <w:b/>
          <w:highlight w:val="none"/>
          <w:lang w:eastAsia="en-US"/>
        </w:rPr>
        <w:t xml:space="preserve">ограничение закупок товаров, происходящих из иностранных государств</w:t>
      </w:r>
      <w:r>
        <w:rPr>
          <w:rFonts w:eastAsiaTheme="minorHAnsi"/>
          <w:highlight w:val="none"/>
          <w:lang w:eastAsia="en-US"/>
        </w:rPr>
        <w:t xml:space="preserve">.</w:t>
      </w:r>
      <w:r>
        <w:rPr>
          <w:rFonts w:eastAsiaTheme="minorHAnsi"/>
          <w:highlight w:val="none"/>
        </w:rPr>
      </w:r>
      <w:r/>
    </w:p>
    <w:p>
      <w:pPr>
        <w:jc w:val="both"/>
        <w:widowControl w:val="off"/>
        <w:tabs>
          <w:tab w:val="left" w:pos="709" w:leader="none"/>
          <w:tab w:val="left" w:pos="3594" w:leader="none"/>
        </w:tabs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/>
    </w:p>
    <w:p>
      <w:pPr>
        <w:pStyle w:val="1031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highlight w:val="none"/>
        </w:rPr>
      </w:r>
      <w:bookmarkStart w:id="7" w:name="_Toc439063131"/>
      <w:r>
        <w:rPr>
          <w:highlight w:val="none"/>
        </w:rPr>
      </w:r>
      <w:bookmarkStart w:id="8" w:name="_Toc8120154"/>
      <w:r>
        <w:rPr>
          <w:rFonts w:eastAsia="SimSun"/>
          <w:szCs w:val="24"/>
          <w:highlight w:val="none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  <w:highlight w:val="none"/>
        </w:rPr>
      </w:r>
      <w:r/>
    </w:p>
    <w:p>
      <w:pPr>
        <w:pStyle w:val="1032"/>
        <w:numPr>
          <w:ilvl w:val="1"/>
          <w:numId w:val="20"/>
        </w:numPr>
        <w:rPr>
          <w:highlight w:val="none"/>
        </w:rPr>
      </w:pPr>
      <w:r>
        <w:rPr>
          <w:highlight w:val="none"/>
        </w:rPr>
        <w:t xml:space="preserve">Участник закупки должен соответствовать следующим обязательным требованиям (отборочные требования):</w:t>
      </w:r>
      <w:r>
        <w:rPr>
          <w:highlight w:val="none"/>
        </w:rPr>
      </w:r>
      <w:r/>
    </w:p>
    <w:p>
      <w:pPr>
        <w:pStyle w:val="1033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highlight w:val="cyan"/>
        </w:rPr>
      </w:pPr>
      <w:r>
        <w:rPr>
          <w:rFonts w:eastAsia="MS Mincho"/>
          <w:highlight w:val="none"/>
          <w:lang w:eastAsia="ja-JP"/>
        </w:rPr>
        <w:t xml:space="preserve">Техническое предложение участника закупки по поставке продукции должно соответствовать техническим требованиям, указанным в Приложение №4 к Техническому заданию.</w:t>
      </w:r>
      <w:r>
        <w:rPr>
          <w:highlight w:val="cyan"/>
        </w:rPr>
      </w:r>
      <w:r/>
    </w:p>
    <w:p>
      <w:pPr>
        <w:pStyle w:val="1033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MS Mincho"/>
          <w:highlight w:val="none"/>
        </w:rPr>
      </w:pPr>
      <w:r>
        <w:rPr>
          <w:rFonts w:eastAsia="MS Mincho"/>
          <w:highlight w:val="none"/>
          <w:lang w:eastAsia="ja-JP"/>
        </w:rPr>
        <w:t xml:space="preserve">Иметь в составе заявки комплект документов, перечисленный в п.3 </w:t>
      </w:r>
      <w:r>
        <w:rPr>
          <w:highlight w:val="none"/>
        </w:rPr>
        <w:t xml:space="preserve">настоящего </w:t>
      </w:r>
      <w:r>
        <w:rPr>
          <w:rFonts w:eastAsia="MS Mincho"/>
          <w:highlight w:val="none"/>
          <w:lang w:eastAsia="ja-JP"/>
        </w:rPr>
        <w:t xml:space="preserve">ТЗ.</w:t>
      </w:r>
      <w:r>
        <w:rPr>
          <w:rFonts w:eastAsia="MS Mincho"/>
          <w:highlight w:val="none"/>
        </w:rPr>
      </w:r>
      <w:r/>
    </w:p>
    <w:p>
      <w:pPr>
        <w:pStyle w:val="1033"/>
        <w:numPr>
          <w:ilvl w:val="2"/>
          <w:numId w:val="20"/>
        </w:numPr>
        <w:contextualSpacing/>
        <w:ind w:left="0" w:firstLine="0"/>
        <w:spacing w:before="0"/>
        <w:tabs>
          <w:tab w:val="left" w:pos="709" w:leader="none"/>
        </w:tabs>
        <w:rPr>
          <w:rFonts w:eastAsia="SimSun"/>
          <w:highlight w:val="none"/>
        </w:rPr>
      </w:pPr>
      <w:r>
        <w:rPr>
          <w:highlight w:val="none"/>
        </w:rPr>
        <w:t xml:space="preserve">Участником закупки могут быть только су</w:t>
      </w:r>
      <w:r>
        <w:rPr>
          <w:highlight w:val="none"/>
        </w:rP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  <w:highlight w:val="none"/>
        </w:rPr>
      </w:r>
      <w:r/>
    </w:p>
    <w:p>
      <w:pPr>
        <w:pStyle w:val="1033"/>
        <w:numPr>
          <w:ilvl w:val="0"/>
          <w:numId w:val="0"/>
        </w:numPr>
        <w:contextualSpacing/>
        <w:tabs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31"/>
        <w:numPr>
          <w:ilvl w:val="0"/>
          <w:numId w:val="20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  <w:highlight w:val="none"/>
        </w:rPr>
      </w:pPr>
      <w:r>
        <w:rPr>
          <w:rFonts w:eastAsia="SimSun"/>
          <w:szCs w:val="24"/>
          <w:highlight w:val="none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  <w:highlight w:val="none"/>
        </w:rPr>
      </w:r>
      <w:r/>
    </w:p>
    <w:p>
      <w:pPr>
        <w:pStyle w:val="1033"/>
        <w:numPr>
          <w:ilvl w:val="1"/>
          <w:numId w:val="20"/>
        </w:numPr>
        <w:ind w:left="0" w:firstLine="0"/>
        <w:widowControl w:val="off"/>
        <w:tabs>
          <w:tab w:val="left" w:pos="0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участника в формате excel, заполненное в соответствии с инструкцией по заполнению:</w:t>
      </w:r>
      <w:r>
        <w:rPr>
          <w:rFonts w:eastAsia="Calibri"/>
          <w:szCs w:val="24"/>
          <w:highlight w:val="none"/>
        </w:rPr>
      </w:r>
      <w:r/>
    </w:p>
    <w:p>
      <w:pPr>
        <w:pStyle w:val="103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Приложение №4 к Техническому заданию заполняется строго по форме Заказчика, с обязательным заполнением столбцов, помеченных «*», с указанием гарантийного срока и соответствия технической части (пункты 1 и 2 под таблицей со знаком «*»).</w:t>
      </w:r>
      <w:r>
        <w:rPr>
          <w:rFonts w:eastAsia="Calibri"/>
          <w:highlight w:val="none"/>
        </w:rPr>
      </w:r>
      <w:r/>
    </w:p>
    <w:p>
      <w:pPr>
        <w:pStyle w:val="103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У</w:t>
      </w:r>
      <w:r>
        <w:rPr>
          <w:highlight w:val="none"/>
        </w:rPr>
        <w:t xml:space="preserve">частник закупки рассчитывает Цену за единицу продукции, путём применения «Единого итогового коэффициента снижения Участника на виды продукции (0&lt;K≤1)» к «Цене за единицу продукции по оценке Заказчика». Отсутствие указания «Единого итогового коэффициента сн</w:t>
      </w:r>
      <w:r>
        <w:rPr>
          <w:highlight w:val="none"/>
        </w:rPr>
        <w:t xml:space="preserve">ижения Участника на виды продукции (0&lt;K≤1)», либо указание «Единого итогового коэффициента снижения Участника» равного 0 или превышающего 1 (единицу) является основанием для отклонения Заявки участника.</w:t>
      </w:r>
      <w:r>
        <w:rPr>
          <w:rFonts w:eastAsia="Calibri"/>
          <w:highlight w:val="none"/>
        </w:rPr>
      </w:r>
      <w:r/>
    </w:p>
    <w:p>
      <w:pPr>
        <w:pStyle w:val="103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highlight w:val="cyan"/>
          <w:lang w:val="ru-RU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П</w:t>
      </w:r>
      <w:r>
        <w:rPr>
          <w:highlight w:val="none"/>
        </w:rPr>
        <w:t xml:space="preserve">рименяемый «Единый итоговый коэффициент снижения Участника на виды продукции (0&lt;K≤1)» явля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единым для всех видов продукции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cyan"/>
          <w:lang w:val="ru-RU"/>
        </w:rPr>
      </w:r>
      <w:r/>
    </w:p>
    <w:p>
      <w:pPr>
        <w:pStyle w:val="1033"/>
        <w:numPr>
          <w:ilvl w:val="2"/>
          <w:numId w:val="20"/>
        </w:numPr>
        <w:ind w:left="0" w:firstLine="709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highlight w:val="none"/>
          <w:lang w:val="ru-RU"/>
        </w:rPr>
        <w:t xml:space="preserve">В столбце 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 Участник указывает размер применяемой ставки НДС в процентах (5, 10, 22 и пр.).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В случае применения упрощенной системы налогообложения (без НДС) в столбце </w:t>
      </w:r>
      <w:r>
        <w:rPr>
          <w:highlight w:val="none"/>
          <w:lang w:val="ru-RU"/>
        </w:rPr>
        <w:t xml:space="preserve">«</w:t>
      </w:r>
      <w:r>
        <w:rPr>
          <w:highlight w:val="none"/>
          <w:lang w:val="ru-RU"/>
        </w:rPr>
        <w:t xml:space="preserve">Ставка НДС, %</w:t>
      </w:r>
      <w:r>
        <w:rPr>
          <w:highlight w:val="none"/>
          <w:lang w:val="ru-RU"/>
        </w:rPr>
        <w:t xml:space="preserve">»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к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ы</w:t>
      </w:r>
      <w:r>
        <w:rPr>
          <w:highlight w:val="none"/>
          <w:lang w:val="ru-RU"/>
        </w:rPr>
        <w:t xml:space="preserve">в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0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б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ц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п</w:t>
      </w:r>
      <w:r>
        <w:rPr>
          <w:highlight w:val="none"/>
          <w:lang w:val="ru-RU"/>
        </w:rPr>
        <w:t xml:space="preserve">о</w:t>
      </w:r>
      <w:r>
        <w:rPr>
          <w:highlight w:val="none"/>
          <w:lang w:val="ru-RU"/>
        </w:rPr>
        <w:t xml:space="preserve">л</w:t>
      </w:r>
      <w:r>
        <w:rPr>
          <w:highlight w:val="none"/>
          <w:lang w:val="ru-RU"/>
        </w:rPr>
        <w:t xml:space="preserve">н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е</w:t>
      </w:r>
      <w:r>
        <w:rPr>
          <w:highlight w:val="none"/>
          <w:lang w:val="ru-RU"/>
        </w:rPr>
        <w:t xml:space="preserve">т</w:t>
      </w:r>
      <w:r>
        <w:rPr>
          <w:highlight w:val="none"/>
          <w:lang w:val="ru-RU"/>
        </w:rPr>
        <w:t xml:space="preserve">с</w:t>
      </w:r>
      <w:r>
        <w:rPr>
          <w:highlight w:val="none"/>
          <w:lang w:val="ru-RU"/>
        </w:rPr>
        <w:t xml:space="preserve">я</w:t>
      </w:r>
      <w:r>
        <w:rPr>
          <w:highlight w:val="none"/>
          <w:lang w:val="ru-RU"/>
        </w:rPr>
        <w:t xml:space="preserve">.</w:t>
      </w:r>
      <w:r>
        <w:rPr>
          <w:rFonts w:eastAsia="Calibri"/>
          <w:highlight w:val="none"/>
        </w:rPr>
      </w:r>
      <w:r/>
    </w:p>
    <w:p>
      <w:pPr>
        <w:pStyle w:val="103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highlight w:val="none"/>
        </w:rPr>
      </w:pPr>
      <w:r>
        <w:rPr>
          <w:rFonts w:eastAsia="Calibri"/>
          <w:szCs w:val="24"/>
          <w:highlight w:val="none"/>
          <w:lang w:eastAsia="en-US"/>
        </w:rPr>
      </w:r>
      <w:r>
        <w:rPr>
          <w:rFonts w:eastAsia="Calibri"/>
          <w:szCs w:val="24"/>
          <w:highlight w:val="none"/>
          <w:lang w:eastAsia="en-US"/>
        </w:rPr>
        <w:t xml:space="preserve">В</w:t>
      </w:r>
      <w:r>
        <w:rPr>
          <w:rFonts w:eastAsia="Calibri"/>
          <w:szCs w:val="24"/>
          <w:highlight w:val="none"/>
          <w:lang w:eastAsia="en-US"/>
        </w:rPr>
        <w:t xml:space="preserve"> столбце 12* «Включено в Реестр промышленной продукции/реестр промышленных товаров государств - членов ЕАЭС» требуется указать сведения для каждого из заявленных производителей по каждому виду продукции, в соответствии с Постановлением Правительства Россий</w:t>
      </w:r>
      <w:r>
        <w:rPr>
          <w:rFonts w:eastAsia="Calibri"/>
          <w:szCs w:val="24"/>
          <w:highlight w:val="none"/>
          <w:lang w:eastAsia="en-US"/>
        </w:rPr>
        <w:t xml:space="preserve">ской Федерации от 23 декабря 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</w:t>
      </w:r>
      <w:r>
        <w:rPr>
          <w:rFonts w:eastAsia="Calibri"/>
          <w:szCs w:val="24"/>
          <w:highlight w:val="none"/>
          <w:lang w:eastAsia="en-US"/>
        </w:rPr>
        <w:t xml:space="preserve">идами юридических лиц».</w:t>
      </w:r>
      <w:r>
        <w:rPr>
          <w:highlight w:val="none"/>
        </w:rPr>
      </w:r>
      <w:r/>
    </w:p>
    <w:p>
      <w:pPr>
        <w:pStyle w:val="103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форму Приложения №4 к Техническому заданию. </w:t>
      </w:r>
      <w:r>
        <w:rPr>
          <w:rFonts w:eastAsia="Calibri"/>
          <w:szCs w:val="24"/>
          <w:highlight w:val="none"/>
        </w:rPr>
      </w:r>
      <w:r/>
    </w:p>
    <w:p>
      <w:pPr>
        <w:pStyle w:val="103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допускается изменять содержание, порядок строк и столбцов в таблице Приложения №4 к Техническому заданию.</w:t>
      </w:r>
      <w:r>
        <w:rPr>
          <w:rFonts w:eastAsia="Calibri"/>
          <w:highlight w:val="none"/>
        </w:rPr>
      </w:r>
      <w:r/>
    </w:p>
    <w:p>
      <w:pPr>
        <w:pStyle w:val="103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В ц</w:t>
      </w:r>
      <w:r>
        <w:rPr>
          <w:highlight w:val="none"/>
        </w:rPr>
        <w:t xml:space="preserve">елях подтверждения страны происхождения товара</w:t>
      </w:r>
      <w:r>
        <w:rPr>
          <w:highlight w:val="none"/>
        </w:rPr>
        <w:t xml:space="preserve"> в соответствии с п.1.10.7 Технического задания</w:t>
      </w:r>
      <w:r>
        <w:rPr>
          <w:highlight w:val="none"/>
        </w:rPr>
        <w:t xml:space="preserve"> Участник в </w:t>
      </w:r>
      <w:r>
        <w:rPr>
          <w:highlight w:val="none"/>
        </w:rPr>
        <w:t xml:space="preserve">Приложении </w:t>
      </w:r>
      <w:r>
        <w:rPr>
          <w:rFonts w:eastAsia="Calibri"/>
          <w:szCs w:val="24"/>
          <w:highlight w:val="none"/>
          <w:lang w:eastAsia="en-US"/>
        </w:rPr>
        <w:t xml:space="preserve">№4 к Техническому заданию</w:t>
      </w:r>
      <w:r>
        <w:rPr>
          <w:highlight w:val="none"/>
        </w:rPr>
        <w:t xml:space="preserve"> заполняет столбец 12* «</w:t>
      </w:r>
      <w:r>
        <w:rPr>
          <w:highlight w:val="none"/>
        </w:rPr>
        <w:t xml:space="preserve">Включено в Реестр промышленной продукции/реестр промышленных товаров государств - членов ЕАЭС (да (указать № реестровой записи) / нет)</w:t>
      </w:r>
      <w:r>
        <w:rPr>
          <w:highlight w:val="none"/>
        </w:rPr>
        <w:t xml:space="preserve">» по каждой номенклатурной позиции</w:t>
      </w:r>
      <w:r>
        <w:rPr>
          <w:highlight w:val="none"/>
        </w:rPr>
        <w:t xml:space="preserve"> с  обязательным указанием в столбце 13* </w:t>
      </w:r>
      <w:r>
        <w:rPr>
          <w:highlight w:val="none"/>
        </w:rPr>
        <w:t xml:space="preserve">информации о совокупном количестве баллов / об уровне радиоэлектронной продукции из соответствующего реестра </w:t>
      </w:r>
      <w:r>
        <w:rPr>
          <w:highlight w:val="none"/>
        </w:rPr>
        <w:t xml:space="preserve">(при их наличии).</w:t>
      </w:r>
      <w:r>
        <w:rPr>
          <w:rFonts w:eastAsia="Calibri"/>
          <w:highlight w:val="none"/>
        </w:rPr>
      </w:r>
      <w:r/>
    </w:p>
    <w:p>
      <w:pPr>
        <w:pStyle w:val="103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highlight w:val="none"/>
        </w:rPr>
      </w:pPr>
      <w:r>
        <w:rPr>
          <w:rFonts w:eastAsia="Calibri"/>
          <w:szCs w:val="24"/>
          <w:highlight w:val="none"/>
        </w:rPr>
      </w:r>
      <w:r>
        <w:rPr>
          <w:highlight w:val="none"/>
        </w:rPr>
        <w:t xml:space="preserve">В случае непредоставления / </w:t>
      </w:r>
      <w:r>
        <w:rPr>
          <w:highlight w:val="none"/>
        </w:rPr>
        <w:t xml:space="preserve">не полного предоставления / </w:t>
      </w:r>
      <w:r>
        <w:rPr>
          <w:highlight w:val="none"/>
        </w:rPr>
        <w:t xml:space="preserve">некорректного предоставления </w:t>
      </w:r>
      <w:r>
        <w:rPr>
          <w:highlight w:val="none"/>
        </w:rPr>
        <w:t xml:space="preserve">/ </w:t>
      </w:r>
      <w:r>
        <w:rPr>
          <w:highlight w:val="none"/>
        </w:rPr>
        <w:t xml:space="preserve">предоставления недостоверных сведений в столбцах 12* и 13*, заявка такого Участника </w:t>
      </w:r>
      <w:r>
        <w:rPr>
          <w:highlight w:val="none"/>
        </w:rPr>
        <w:t xml:space="preserve">приравнивается к заявке на участие в закупке, в которой содержится предложение о поставке товара, происходящего из иностранного государства.</w:t>
      </w:r>
      <w:r>
        <w:rPr>
          <w:highlight w:val="none"/>
        </w:rPr>
        <w:t xml:space="preserve"> </w:t>
      </w:r>
      <w:r>
        <w:rPr>
          <w:rFonts w:eastAsia="Calibri"/>
          <w:highlight w:val="none"/>
        </w:rPr>
      </w:r>
      <w:r/>
    </w:p>
    <w:p>
      <w:pPr>
        <w:pStyle w:val="103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В случае нарушения требований инструкции по заполнению (пп.</w:t>
      </w:r>
      <w:r>
        <w:rPr>
          <w:rFonts w:eastAsia="Calibri"/>
          <w:szCs w:val="24"/>
          <w:highlight w:val="none"/>
          <w:lang w:eastAsia="en-US"/>
        </w:rPr>
        <w:t xml:space="preserve">3.1.1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-</w:t>
      </w:r>
      <w:r>
        <w:rPr>
          <w:rFonts w:eastAsia="Calibri"/>
          <w:szCs w:val="24"/>
          <w:highlight w:val="none"/>
          <w:lang w:eastAsia="en-US"/>
        </w:rPr>
        <w:t xml:space="preserve"> 3</w:t>
      </w:r>
      <w:r>
        <w:rPr>
          <w:rFonts w:eastAsia="Calibri"/>
          <w:szCs w:val="24"/>
          <w:highlight w:val="none"/>
          <w:lang w:eastAsia="en-US"/>
        </w:rPr>
        <w:t xml:space="preserve">.1</w:t>
      </w:r>
      <w:r>
        <w:rPr>
          <w:rFonts w:eastAsia="Calibri"/>
          <w:szCs w:val="24"/>
          <w:highlight w:val="none"/>
          <w:lang w:eastAsia="en-US"/>
        </w:rPr>
        <w:t xml:space="preserve">.</w:t>
      </w:r>
      <w:r>
        <w:rPr>
          <w:rFonts w:eastAsia="Calibri"/>
          <w:szCs w:val="24"/>
          <w:highlight w:val="none"/>
          <w:lang w:eastAsia="en-US"/>
        </w:rPr>
        <w:t xml:space="preserve">9</w:t>
      </w:r>
      <w:r>
        <w:rPr>
          <w:rFonts w:eastAsia="Calibri"/>
          <w:szCs w:val="24"/>
          <w:highlight w:val="none"/>
          <w:lang w:eastAsia="en-US"/>
        </w:rPr>
        <w:t xml:space="preserve"> </w:t>
      </w:r>
      <w:r>
        <w:rPr>
          <w:rFonts w:eastAsia="Calibri"/>
          <w:szCs w:val="24"/>
          <w:highlight w:val="none"/>
          <w:lang w:eastAsia="en-US"/>
        </w:rPr>
        <w:t xml:space="preserve">настоящего </w:t>
      </w:r>
      <w:r>
        <w:rPr>
          <w:rFonts w:eastAsia="Calibri"/>
          <w:szCs w:val="24"/>
          <w:highlight w:val="none"/>
          <w:lang w:eastAsia="en-US"/>
        </w:rPr>
        <w:t xml:space="preserve">Технического задания</w:t>
      </w:r>
      <w:r>
        <w:rPr>
          <w:rFonts w:eastAsia="Calibri"/>
          <w:szCs w:val="24"/>
          <w:highlight w:val="none"/>
          <w:lang w:eastAsia="en-US"/>
        </w:rPr>
        <w:t xml:space="preserve">) заявка подлежит обязательному отклонению.</w:t>
      </w:r>
      <w:r>
        <w:rPr>
          <w:rFonts w:eastAsia="Calibri"/>
          <w:szCs w:val="24"/>
          <w:highlight w:val="none"/>
        </w:rPr>
      </w:r>
      <w:r/>
    </w:p>
    <w:p>
      <w:pPr>
        <w:pStyle w:val="103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Информация, указанная Участником в приложении № 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, в дальнейшем изменению не подлежит.</w:t>
      </w:r>
      <w:r>
        <w:rPr>
          <w:rFonts w:eastAsia="Calibri"/>
          <w:szCs w:val="24"/>
          <w:highlight w:val="none"/>
        </w:rPr>
      </w:r>
      <w:r/>
    </w:p>
    <w:p>
      <w:pPr>
        <w:pStyle w:val="1033"/>
        <w:numPr>
          <w:ilvl w:val="2"/>
          <w:numId w:val="20"/>
        </w:numPr>
        <w:ind w:left="0" w:firstLine="709"/>
        <w:spacing w:before="0" w:after="0"/>
        <w:widowControl w:val="off"/>
        <w:tabs>
          <w:tab w:val="left" w:pos="284" w:leader="none"/>
        </w:tabs>
        <w:rPr>
          <w:rFonts w:eastAsia="Calibri"/>
          <w:szCs w:val="24"/>
          <w:highlight w:val="none"/>
        </w:rPr>
      </w:pPr>
      <w:r>
        <w:rPr>
          <w:rFonts w:eastAsia="Calibri"/>
          <w:szCs w:val="24"/>
          <w:highlight w:val="none"/>
          <w:lang w:eastAsia="en-US"/>
        </w:rPr>
        <w:t xml:space="preserve">Не заполнение Участником закупки столбцов, не помеченных «*» в приложении №</w:t>
      </w:r>
      <w:r>
        <w:rPr>
          <w:rFonts w:eastAsia="Calibri"/>
          <w:szCs w:val="24"/>
          <w:highlight w:val="none"/>
          <w:lang w:eastAsia="en-US"/>
        </w:rPr>
        <w:t xml:space="preserve">4</w:t>
      </w:r>
      <w:r>
        <w:rPr>
          <w:rFonts w:eastAsia="Calibri"/>
          <w:szCs w:val="24"/>
          <w:highlight w:val="none"/>
          <w:lang w:eastAsia="en-US"/>
        </w:rPr>
        <w:t xml:space="preserve"> к</w:t>
      </w:r>
      <w:r>
        <w:rPr>
          <w:rFonts w:eastAsia="Calibri"/>
          <w:szCs w:val="24"/>
          <w:highlight w:val="none"/>
          <w:lang w:eastAsia="en-US"/>
        </w:rPr>
        <w:t xml:space="preserve"> Техническому заданию</w:t>
      </w:r>
      <w:r>
        <w:rPr>
          <w:rFonts w:eastAsia="Calibri"/>
          <w:szCs w:val="24"/>
          <w:highlight w:val="none"/>
          <w:lang w:eastAsia="en-US"/>
        </w:rPr>
        <w:t xml:space="preserve">, не является основанием для отклонения заявки Участника.</w:t>
      </w:r>
      <w:r>
        <w:rPr>
          <w:rFonts w:eastAsia="Calibri"/>
          <w:szCs w:val="24"/>
          <w:highlight w:val="none"/>
        </w:rPr>
      </w:r>
      <w:r/>
    </w:p>
    <w:p>
      <w:pPr>
        <w:pStyle w:val="1033"/>
        <w:numPr>
          <w:ilvl w:val="0"/>
          <w:numId w:val="0"/>
        </w:numPr>
        <w:widowControl w:val="off"/>
        <w:tabs>
          <w:tab w:val="left" w:pos="0" w:leader="none"/>
          <w:tab w:val="left" w:pos="142" w:leader="none"/>
          <w:tab w:val="left" w:pos="709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21"/>
        <w:numPr>
          <w:ilvl w:val="0"/>
          <w:numId w:val="20"/>
        </w:numPr>
        <w:ind w:left="0" w:firstLine="0"/>
        <w:keepLines/>
        <w:spacing w:before="120" w:after="120"/>
        <w:rPr>
          <w:b/>
          <w:highlight w:val="none"/>
        </w:rPr>
      </w:pPr>
      <w:r>
        <w:rPr>
          <w:b/>
          <w:highlight w:val="none"/>
        </w:rPr>
        <w:t xml:space="preserve">Выбор победителя закупки</w:t>
      </w:r>
      <w:r>
        <w:rPr>
          <w:b/>
          <w:highlight w:val="none"/>
        </w:rPr>
      </w:r>
      <w:r/>
    </w:p>
    <w:p>
      <w:pPr>
        <w:pStyle w:val="1015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eastAsia="Calibri"/>
          <w:sz w:val="24"/>
          <w:szCs w:val="24"/>
          <w:highlight w:val="none"/>
        </w:rPr>
      </w:r>
      <w:r/>
    </w:p>
    <w:p>
      <w:pPr>
        <w:pStyle w:val="1015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</w:rPr>
      </w:r>
      <w:r/>
    </w:p>
    <w:p>
      <w:pPr>
        <w:pStyle w:val="1015"/>
        <w:ind w:firstLine="709"/>
        <w:jc w:val="both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Если Правительством Российской Федерации в соответствии с законодательством о порядке примене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ния национального режима установлено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лицами:</w:t>
      </w:r>
      <w:r>
        <w:rPr>
          <w:rFonts w:eastAsia="Calibri"/>
          <w:sz w:val="24"/>
          <w:szCs w:val="24"/>
          <w:highlight w:val="none"/>
        </w:rPr>
      </w:r>
      <w:r/>
    </w:p>
    <w:p>
      <w:pPr>
        <w:pStyle w:val="1015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астником закупки, предлагающим к поставке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rFonts w:eastAsia="Calibri"/>
          <w:sz w:val="24"/>
          <w:szCs w:val="24"/>
          <w:highlight w:val="none"/>
          <w:lang w:eastAsia="en-US"/>
        </w:rPr>
      </w:r>
      <w:r/>
    </w:p>
    <w:p>
      <w:pPr>
        <w:pStyle w:val="1015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  <w:lang w:eastAsia="en-US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rFonts w:eastAsia="Calibri"/>
          <w:sz w:val="24"/>
          <w:szCs w:val="24"/>
          <w:highlight w:val="none"/>
          <w:lang w:eastAsia="en-US"/>
        </w:rPr>
      </w:r>
      <w:r/>
    </w:p>
    <w:p>
      <w:pPr>
        <w:pStyle w:val="1015"/>
        <w:numPr>
          <w:ilvl w:val="0"/>
          <w:numId w:val="37"/>
        </w:numPr>
        <w:ind w:left="0" w:right="0" w:firstLine="709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</w:r>
      <w:r>
        <w:rPr>
          <w:rFonts w:eastAsia="Calibri"/>
          <w:sz w:val="24"/>
          <w:szCs w:val="24"/>
          <w:highlight w:val="none"/>
          <w:lang w:eastAsia="en-US"/>
        </w:rPr>
        <w:t xml:space="preserve">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r>
        <w:rPr>
          <w:rFonts w:eastAsia="Calibri"/>
          <w:sz w:val="24"/>
          <w:szCs w:val="24"/>
          <w:highlight w:val="none"/>
        </w:rPr>
      </w:r>
      <w:r/>
    </w:p>
    <w:p>
      <w:pPr>
        <w:pStyle w:val="1015"/>
        <w:ind w:left="709" w:right="0" w:firstLine="0"/>
        <w:jc w:val="both"/>
        <w:tabs>
          <w:tab w:val="left" w:pos="992" w:leader="none"/>
        </w:tabs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  <w:r/>
    </w:p>
    <w:p>
      <w:pPr>
        <w:pStyle w:val="1021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30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1 (</w:t>
      </w:r>
      <w:r>
        <w:rPr>
          <w:rStyle w:val="1030"/>
          <w:rFonts w:ascii="Times New Roman" w:hAnsi="Times New Roman" w:cs="Times New Roman"/>
          <w:i/>
          <w:color w:val="auto"/>
          <w:highlight w:val="none"/>
        </w:rPr>
        <w:t xml:space="preserve">обязательное</w:t>
      </w:r>
      <w:bookmarkEnd w:id="7"/>
      <w:r>
        <w:rPr>
          <w:highlight w:val="none"/>
        </w:rPr>
      </w:r>
      <w:bookmarkEnd w:id="8"/>
      <w:r>
        <w:rPr>
          <w:rStyle w:val="1030"/>
          <w:rFonts w:ascii="Times New Roman" w:hAnsi="Times New Roman" w:cs="Times New Roman"/>
          <w:i/>
          <w:color w:val="auto"/>
          <w:highlight w:val="none"/>
        </w:rPr>
        <w:t xml:space="preserve">). 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Обоснование начальной (максимальной) цены договора (форма).</w:t>
      </w:r>
      <w:r>
        <w:rPr>
          <w:highlight w:val="none"/>
        </w:rPr>
      </w:r>
      <w:r/>
    </w:p>
    <w:p>
      <w:pPr>
        <w:jc w:val="both"/>
        <w:rPr>
          <w:highlight w:val="none"/>
        </w:rPr>
      </w:pPr>
      <w:r>
        <w:rPr>
          <w:highlight w:val="none"/>
        </w:rPr>
      </w:r>
      <w:bookmarkStart w:id="10" w:name="_Toc8120155"/>
      <w:r>
        <w:rPr>
          <w:rStyle w:val="1030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2</w:t>
      </w:r>
      <w:r>
        <w:rPr>
          <w:rStyle w:val="1030"/>
          <w:rFonts w:ascii="Times New Roman" w:hAnsi="Times New Roman" w:cs="Times New Roman"/>
          <w:i/>
          <w:color w:val="auto"/>
          <w:highlight w:val="none"/>
        </w:rPr>
        <w:t xml:space="preserve"> </w:t>
      </w:r>
      <w:r>
        <w:rPr>
          <w:rStyle w:val="1030"/>
          <w:rFonts w:ascii="Times New Roman" w:hAnsi="Times New Roman" w:cs="Times New Roman"/>
          <w:b/>
          <w:i/>
          <w:color w:val="auto"/>
          <w:highlight w:val="none"/>
        </w:rPr>
        <w:t xml:space="preserve">(</w:t>
      </w:r>
      <w:r>
        <w:rPr>
          <w:rStyle w:val="1030"/>
          <w:rFonts w:ascii="Times New Roman" w:hAnsi="Times New Roman" w:cs="Times New Roman"/>
          <w:i/>
          <w:color w:val="auto"/>
          <w:highlight w:val="none"/>
        </w:rPr>
        <w:t xml:space="preserve">обязательное). </w:t>
      </w:r>
      <w:bookmarkEnd w:id="10"/>
      <w:r>
        <w:rPr>
          <w:highlight w:val="none"/>
        </w:rPr>
        <w:t xml:space="preserve">Проект договора (форма). </w:t>
      </w:r>
      <w:r>
        <w:rPr>
          <w:highlight w:val="none"/>
        </w:rPr>
      </w:r>
      <w:r/>
    </w:p>
    <w:p>
      <w:pPr>
        <w:pStyle w:val="1021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highlight w:val="none"/>
        </w:rPr>
        <w:outlineLvl w:val="0"/>
      </w:pPr>
      <w:r>
        <w:rPr>
          <w:rStyle w:val="1030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3 </w:t>
      </w:r>
      <w:r>
        <w:rPr>
          <w:rStyle w:val="1030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Реквизиты грузополучателей.</w:t>
      </w:r>
      <w:r>
        <w:rPr>
          <w:highlight w:val="none"/>
        </w:rPr>
      </w:r>
      <w:r/>
    </w:p>
    <w:p>
      <w:pPr>
        <w:jc w:val="both"/>
        <w:tabs>
          <w:tab w:val="left" w:pos="993" w:leader="none"/>
        </w:tabs>
        <w:rPr>
          <w:i/>
          <w:highlight w:val="none"/>
        </w:rPr>
      </w:pPr>
      <w:r>
        <w:rPr>
          <w:rStyle w:val="1030"/>
          <w:rFonts w:ascii="Times New Roman" w:hAnsi="Times New Roman" w:cs="Times New Roman"/>
          <w:b/>
          <w:i/>
          <w:color w:val="auto"/>
          <w:highlight w:val="none"/>
        </w:rPr>
        <w:t xml:space="preserve">Приложение 4 </w:t>
      </w:r>
      <w:r>
        <w:rPr>
          <w:rStyle w:val="1030"/>
          <w:rFonts w:ascii="Times New Roman" w:hAnsi="Times New Roman" w:cs="Times New Roman"/>
          <w:i/>
          <w:color w:val="auto"/>
          <w:highlight w:val="none"/>
        </w:rPr>
        <w:t xml:space="preserve">(обязательное). </w:t>
      </w:r>
      <w:r>
        <w:rPr>
          <w:highlight w:val="none"/>
        </w:rPr>
        <w:t xml:space="preserve">Предложение о цене договора</w:t>
      </w:r>
      <w:r>
        <w:rPr>
          <w:highlight w:val="none"/>
        </w:rPr>
        <w:t xml:space="preserve"> </w:t>
      </w:r>
      <w:r>
        <w:rPr>
          <w:rFonts w:eastAsia="Calibri"/>
          <w:highlight w:val="none"/>
          <w:lang w:eastAsia="en-US"/>
        </w:rPr>
        <w:t xml:space="preserve">в формате </w:t>
      </w:r>
      <w:r>
        <w:rPr>
          <w:rFonts w:eastAsia="Calibri"/>
          <w:highlight w:val="none"/>
          <w:lang w:val="en-US" w:eastAsia="en-US"/>
        </w:rPr>
        <w:t xml:space="preserve">excel</w:t>
      </w:r>
      <w:r>
        <w:rPr>
          <w:highlight w:val="none"/>
        </w:rPr>
        <w:t xml:space="preserve"> (форма).</w:t>
      </w:r>
      <w:r>
        <w:rPr>
          <w:i/>
          <w:highlight w:val="none"/>
        </w:rPr>
        <w:t xml:space="preserve"> </w:t>
      </w:r>
      <w:bookmarkStart w:id="11" w:name="_Toc536483690"/>
      <w:r>
        <w:rPr>
          <w:highlight w:val="none"/>
        </w:rPr>
      </w:r>
      <w:bookmarkStart w:id="12" w:name="_Toc536628829"/>
      <w:r>
        <w:rPr>
          <w:highlight w:val="none"/>
        </w:rPr>
      </w:r>
      <w:bookmarkStart w:id="13" w:name="_Toc2757058"/>
      <w:r>
        <w:rPr>
          <w:highlight w:val="none"/>
        </w:rPr>
      </w:r>
      <w:bookmarkEnd w:id="11"/>
      <w:r/>
      <w:bookmarkEnd w:id="12"/>
      <w:r/>
      <w:bookmarkEnd w:id="13"/>
      <w:r>
        <w:rPr>
          <w:i/>
          <w:highlight w:val="none"/>
        </w:rPr>
      </w:r>
      <w:r/>
    </w:p>
    <w:p>
      <w:pPr>
        <w:jc w:val="both"/>
        <w:rPr>
          <w:i/>
          <w:sz w:val="28"/>
          <w:szCs w:val="28"/>
          <w:highlight w:val="none"/>
        </w:rPr>
      </w:pPr>
      <w:r>
        <w:rPr>
          <w:i/>
          <w:sz w:val="28"/>
          <w:szCs w:val="28"/>
          <w:highlight w:val="none"/>
        </w:rPr>
      </w:r>
      <w:r>
        <w:rPr>
          <w:i/>
          <w:sz w:val="28"/>
          <w:szCs w:val="28"/>
          <w:highlight w:val="none"/>
        </w:rPr>
      </w:r>
      <w:r/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highlight w:val="none"/>
        </w:rPr>
      </w:r>
      <w:r/>
    </w:p>
    <w:p>
      <w:pPr>
        <w:jc w:val="center"/>
        <w:tabs>
          <w:tab w:val="num" w:pos="0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ind w:left="5387"/>
        <w:pageBreakBefore/>
        <w:rPr>
          <w:bCs/>
          <w:highlight w:val="none"/>
        </w:rPr>
      </w:pPr>
      <w:r>
        <w:rPr>
          <w:highlight w:val="none"/>
        </w:rPr>
        <w:t xml:space="preserve">Приложение 1 к Техническому заданию (обязательное)</w:t>
      </w:r>
      <w:r>
        <w:rPr>
          <w:bCs/>
          <w:highlight w:val="none"/>
        </w:rPr>
      </w:r>
      <w:r/>
    </w:p>
    <w:p>
      <w:pPr>
        <w:pStyle w:val="1042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ФОРМА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pStyle w:val="1042"/>
        <w:ind w:firstLine="851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  <w:t xml:space="preserve">Обоснование начальной (максимальной) цены договора </w:t>
      </w:r>
      <w:r>
        <w:rPr>
          <w:sz w:val="28"/>
          <w:szCs w:val="28"/>
          <w:highlight w:val="none"/>
        </w:rPr>
      </w:r>
      <w:r/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  <w:highlight w:val="none"/>
        </w:rPr>
        <w:pBdr>
          <w:bottom w:val="single" w:color="000000" w:sz="12" w:space="1"/>
        </w:pBdr>
        <w:outlineLvl w:val="1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  <w:highlight w:val="none"/>
        </w:rPr>
        <w:outlineLvl w:val="1"/>
      </w:pPr>
      <w:r>
        <w:rPr>
          <w:highlight w:val="none"/>
        </w:rPr>
      </w:r>
      <w:r>
        <w:rPr>
          <w:sz w:val="28"/>
          <w:szCs w:val="28"/>
          <w:highlight w:val="none"/>
        </w:rPr>
        <w:t xml:space="preserve">(указывается предмет закупки)</w:t>
      </w:r>
      <w:bookmarkStart w:id="16" w:name="l152"/>
      <w:r>
        <w:rPr>
          <w:highlight w:val="none"/>
        </w:rPr>
      </w:r>
      <w:bookmarkEnd w:id="16"/>
      <w:r>
        <w:rPr>
          <w:sz w:val="28"/>
          <w:szCs w:val="28"/>
          <w:highlight w:val="none"/>
        </w:rPr>
      </w:r>
      <w:r/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094"/>
        <w:gridCol w:w="5095"/>
      </w:tblGrid>
      <w:tr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bookmarkStart w:id="17" w:name="l55"/>
            <w:r>
              <w:rPr>
                <w:highlight w:val="none"/>
              </w:rPr>
            </w:r>
            <w:bookmarkEnd w:id="17"/>
            <w:r>
              <w:rPr>
                <w:sz w:val="28"/>
                <w:szCs w:val="28"/>
                <w:highlight w:val="none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  <w:highlight w:val="none"/>
              </w:rPr>
            </w:r>
            <w:r/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jc w:val="center"/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101 672,36</w:t>
            </w:r>
            <w:r>
              <w:rPr>
                <w:sz w:val="28"/>
                <w:szCs w:val="28"/>
                <w:highlight w:val="none"/>
              </w:rPr>
            </w:r>
            <w:r/>
          </w:p>
        </w:tc>
      </w:tr>
      <w:tr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highlight w:val="none"/>
              </w:rPr>
            </w:r>
            <w:r>
              <w:rPr>
                <w:sz w:val="28"/>
                <w:szCs w:val="28"/>
                <w:highlight w:val="none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  <w:highlight w:val="none"/>
              </w:rPr>
            </w:r>
            <w:r/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1015"/>
              <w:jc w:val="center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Нормативный метод</w:t>
            </w:r>
            <w:r>
              <w:rPr>
                <w:sz w:val="24"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  <w:highlight w:val="none"/>
              </w:rPr>
            </w:r>
            <w:r/>
          </w:p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</w:r>
            <w:r>
              <w:rPr>
                <w:sz w:val="28"/>
                <w:szCs w:val="28"/>
                <w:highlight w:val="none"/>
              </w:rPr>
            </w:r>
            <w:r/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/>
              <w:rPr>
                <w:i/>
              </w:rPr>
            </w:pPr>
            <w:r>
              <w:rPr>
                <w:sz w:val="28"/>
                <w:szCs w:val="28"/>
              </w:rPr>
              <w:t xml:space="preserve">Единый стандарт закупок</w:t>
            </w:r>
            <w:r>
              <w:rPr>
                <w:i/>
              </w:rPr>
            </w:r>
            <w:r/>
          </w:p>
        </w:tc>
      </w:tr>
      <w:tr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  <w:highlight w:val="none"/>
              </w:rPr>
            </w:pPr>
            <w:r>
              <w:rPr>
                <w:sz w:val="28"/>
                <w:szCs w:val="28"/>
                <w:highlight w:val="none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  <w:highlight w:val="none"/>
              </w:rPr>
            </w:r>
            <w:r/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jc w:val="center"/>
              <w:spacing w:after="300"/>
              <w:rPr>
                <w:i/>
              </w:rPr>
            </w:pPr>
            <w:r>
              <w:rPr>
                <w:sz w:val="28"/>
                <w:szCs w:val="28"/>
              </w:rPr>
              <w:t xml:space="preserve">Приложение №1.1. к ТЗ – Расчет НМЦ</w:t>
            </w:r>
            <w:r>
              <w:rPr>
                <w:i/>
              </w:rPr>
            </w:r>
            <w:r/>
          </w:p>
        </w:tc>
      </w:tr>
    </w:tbl>
    <w:p>
      <w:pPr>
        <w:ind w:firstLine="851"/>
        <w:shd w:val="clear" w:color="auto" w:fill="ffffff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/>
    </w:p>
    <w:p>
      <w:pPr>
        <w:ind w:right="76"/>
        <w:jc w:val="both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jc w:val="both"/>
        <w:tabs>
          <w:tab w:val="num" w:pos="0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jc w:val="left"/>
        <w:rPr>
          <w:b/>
          <w:bCs/>
          <w:highlight w:val="none"/>
        </w:rPr>
      </w:pPr>
      <w:r>
        <w:rPr>
          <w:highlight w:val="none"/>
        </w:rPr>
        <w:t xml:space="preserve">Техническое задание </w:t>
      </w:r>
      <w:r>
        <w:rPr>
          <w:b w:val="0"/>
          <w:bCs w:val="0"/>
          <w:highlight w:val="none"/>
        </w:rPr>
        <w:t xml:space="preserve">с</w:t>
      </w:r>
      <w:r>
        <w:rPr>
          <w:b w:val="0"/>
          <w:bCs w:val="0"/>
          <w:highlight w:val="none"/>
        </w:rPr>
        <w:t xml:space="preserve">оставил:</w:t>
      </w:r>
      <w:r>
        <w:rPr>
          <w:b w:val="0"/>
          <w:bCs w:val="0"/>
          <w:highlight w:val="none"/>
        </w:rPr>
        <w:tab/>
      </w:r>
      <w:r>
        <w:rPr>
          <w:b w:val="0"/>
          <w:bCs w:val="0"/>
          <w:highlight w:val="none"/>
        </w:rPr>
        <w:tab/>
      </w:r>
      <w:r>
        <w:rPr>
          <w:b/>
          <w:bCs/>
          <w:highlight w:val="none"/>
        </w:rPr>
      </w:r>
      <w:r/>
    </w:p>
    <w:p>
      <w:pPr>
        <w:jc w:val="left"/>
        <w:rPr>
          <w:highlight w:val="cyan"/>
        </w:rPr>
      </w:pPr>
      <w:r>
        <w:rPr>
          <w:b/>
          <w:highlight w:val="cyan"/>
        </w:rPr>
      </w:r>
      <w:r>
        <w:rPr>
          <w:highlight w:val="cyan"/>
        </w:rPr>
      </w:r>
      <w:r/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3045"/>
      </w:tblGrid>
      <w:tr>
        <w:trPr>
          <w:cantSplit/>
          <w:trHeight w:val="38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7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  <w:highlight w:val="none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highlight w:val="none"/>
              </w:rPr>
            </w:pPr>
            <w:r>
              <w:rPr>
                <w:b/>
                <w:sz w:val="20"/>
                <w:szCs w:val="20"/>
                <w:highlight w:val="none"/>
              </w:rPr>
              <w:t xml:space="preserve">Фамилия, инициалы</w:t>
            </w:r>
            <w:r>
              <w:rPr>
                <w:b/>
                <w:sz w:val="20"/>
                <w:szCs w:val="20"/>
                <w:highlight w:val="none"/>
              </w:rPr>
            </w:r>
            <w:r/>
          </w:p>
        </w:tc>
      </w:tr>
      <w:tr>
        <w:trPr>
          <w:cantSplit/>
          <w:trHeight w:val="5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73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cyan"/>
              </w:rPr>
            </w:pPr>
            <w:r>
              <w:rPr>
                <w:highlight w:val="cyan"/>
              </w:rPr>
            </w:r>
            <w:r>
              <w:rPr>
                <w:sz w:val="20"/>
                <w:szCs w:val="20"/>
                <w:highlight w:val="none"/>
              </w:rPr>
              <w:t xml:space="preserve">Ведущий специалист</w:t>
            </w:r>
            <w:r>
              <w:t xml:space="preserve"> ГЛ </w:t>
            </w:r>
            <w:r>
              <w:t xml:space="preserve">УЛиМТО</w:t>
            </w:r>
            <w:r>
              <w:rPr>
                <w:sz w:val="20"/>
                <w:szCs w:val="20"/>
                <w:highlight w:val="cyan"/>
              </w:rPr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45" w:type="dxa"/>
            <w:textDirection w:val="lrTb"/>
            <w:noWrap w:val="false"/>
          </w:tcPr>
          <w:p>
            <w:pPr>
              <w:rPr>
                <w:sz w:val="20"/>
                <w:szCs w:val="20"/>
                <w:highlight w:val="cyan"/>
              </w:rPr>
            </w:pPr>
            <w:r>
              <w:rPr>
                <w:sz w:val="20"/>
                <w:szCs w:val="20"/>
                <w:highlight w:val="none"/>
              </w:rPr>
              <w:t xml:space="preserve">Гурьянова Ю.И.</w:t>
            </w:r>
            <w:r/>
          </w:p>
        </w:tc>
      </w:tr>
    </w:tbl>
    <w:p>
      <w:pPr>
        <w:tabs>
          <w:tab w:val="left" w:pos="0" w:leader="none"/>
          <w:tab w:val="left" w:pos="6220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/>
    </w:p>
    <w:sectPr>
      <w:footnotePr/>
      <w:endnotePr/>
      <w:type w:val="nextPage"/>
      <w:pgSz w:w="11906" w:h="16838" w:orient="portrait"/>
      <w:pgMar w:top="851" w:right="567" w:bottom="1134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imSun">
    <w:panose1 w:val="02010600030101010101"/>
  </w:font>
  <w:font w:name="MS Mincho">
    <w:panose1 w:val="020205030504050903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102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  <w:rPr>
        <w:rStyle w:val="1027"/>
      </w:rPr>
      <w:framePr w:wrap="around" w:vAnchor="text" w:hAnchor="margin" w:xAlign="center" w:y="1"/>
    </w:pPr>
    <w:r>
      <w:rPr>
        <w:rStyle w:val="1027"/>
      </w:rPr>
      <w:fldChar w:fldCharType="begin"/>
    </w:r>
    <w:r>
      <w:rPr>
        <w:rStyle w:val="1027"/>
      </w:rPr>
      <w:instrText xml:space="preserve">PAGE  </w:instrText>
    </w:r>
    <w:r>
      <w:rPr>
        <w:rStyle w:val="1027"/>
      </w:rPr>
      <w:fldChar w:fldCharType="end"/>
    </w:r>
    <w:r>
      <w:rPr>
        <w:rStyle w:val="1027"/>
      </w:rPr>
    </w:r>
    <w:r/>
  </w:p>
  <w:p>
    <w:pPr>
      <w:pStyle w:val="102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jc w:val="both"/>
        <w:rPr>
          <w:color w:val="000000"/>
          <w:sz w:val="30"/>
          <w:szCs w:val="30"/>
        </w:rPr>
      </w:pPr>
      <w:r>
        <w:rPr>
          <w:rStyle w:val="1045"/>
        </w:rPr>
        <w:footnoteRef/>
      </w:r>
      <w:r>
        <w:t xml:space="preserve"> </w:t>
      </w:r>
      <w:r>
        <w:rPr>
          <w:color w:val="000000"/>
          <w:sz w:val="20"/>
          <w:szCs w:val="20"/>
        </w:rPr>
        <w:t xml:space="preserve">Срок </w:t>
      </w:r>
      <w:r>
        <w:rPr>
          <w:color w:val="000000"/>
          <w:sz w:val="20"/>
          <w:szCs w:val="20"/>
        </w:rPr>
        <w:t xml:space="preserve">поставки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полностью соответствует указанному в Приложении</w:t>
      </w:r>
      <w:r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4</w:t>
      </w:r>
      <w:r>
        <w:rPr>
          <w:color w:val="000000"/>
          <w:sz w:val="20"/>
          <w:szCs w:val="20"/>
        </w:rPr>
        <w:t xml:space="preserve"> к </w:t>
      </w:r>
      <w:r>
        <w:rPr>
          <w:color w:val="000000"/>
          <w:sz w:val="20"/>
          <w:szCs w:val="20"/>
        </w:rPr>
        <w:t xml:space="preserve">Техническому заданию</w:t>
      </w:r>
      <w:r>
        <w:rPr>
          <w:color w:val="000000"/>
          <w:sz w:val="20"/>
          <w:szCs w:val="20"/>
        </w:rPr>
        <w:t xml:space="preserve">, в том числе в части указания промежуточны</w:t>
      </w:r>
      <w:r>
        <w:rPr>
          <w:color w:val="000000"/>
          <w:sz w:val="20"/>
          <w:szCs w:val="20"/>
        </w:rPr>
        <w:t xml:space="preserve">х сроков поставок</w:t>
      </w:r>
      <w:r>
        <w:rPr>
          <w:color w:val="000000"/>
          <w:sz w:val="30"/>
          <w:szCs w:val="30"/>
        </w:rPr>
      </w:r>
      <w:r/>
    </w:p>
    <w:p>
      <w:pPr>
        <w:pStyle w:val="1043"/>
      </w:pPr>
      <w:r/>
      <w:r/>
    </w:p>
  </w:footnote>
  <w:footnote w:id="3">
    <w:p>
      <w:pPr>
        <w:pStyle w:val="1043"/>
        <w:jc w:val="both"/>
        <w:rPr>
          <w:sz w:val="18"/>
          <w:szCs w:val="18"/>
        </w:rPr>
      </w:pPr>
      <w:r>
        <w:rPr>
          <w:rStyle w:val="1045"/>
        </w:rPr>
        <w:footnoteRef/>
      </w:r>
      <w:r>
        <w:t xml:space="preserve"> </w:t>
      </w:r>
      <w:r>
        <w:rPr>
          <w:bCs/>
          <w:spacing w:val="-4"/>
        </w:rPr>
        <w:t xml:space="preserve"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 и Порядком проведения аттестации в ПАО «Россети» (протокол заседания Правления ОАО «Россети» от 31.03.2014 № 225пр) (адрес в сети Интернет: </w:t>
      </w:r>
      <w:hyperlink r:id="rId1" w:tooltip="https://www.rosseti.ru/suppliers/technical-policy/equipment-quality-control/" w:history="1">
        <w:r>
          <w:rPr>
            <w:rStyle w:val="1022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 </w:t>
      </w:r>
      <w:r>
        <w:rPr>
          <w:bCs/>
        </w:rPr>
        <w:t xml:space="preserve">Перечень допущенного оборудования / продукции формируется из оборудования, прошедшего проверку качества в ПАО «Россети», и размещается на официальном сайте ПАО «Россети» в разделе </w:t>
      </w:r>
      <w:r>
        <w:rPr>
          <w:bCs/>
        </w:rPr>
        <w:t xml:space="preserve">Поставщикам </w:t>
      </w:r>
      <w:r>
        <w:rPr>
          <w:bCs/>
        </w:rPr>
        <w:t xml:space="preserve">→</w:t>
      </w:r>
      <w:r>
        <w:rPr>
          <w:bCs/>
        </w:rPr>
        <w:t xml:space="preserve"> Единая техническая политика </w:t>
      </w:r>
      <w:r>
        <w:rPr>
          <w:bCs/>
        </w:rPr>
        <w:t xml:space="preserve">→</w:t>
      </w:r>
      <w:r>
        <w:rPr>
          <w:bCs/>
        </w:rPr>
        <w:t xml:space="preserve"> Проверка качества оборудования</w:t>
      </w:r>
      <w:r>
        <w:rPr>
          <w:bCs/>
        </w:rPr>
        <w:t xml:space="preserve"> </w:t>
      </w:r>
      <w:r>
        <w:rPr>
          <w:bCs/>
        </w:rPr>
        <w:t xml:space="preserve">(адрес в сети Интернет: </w:t>
      </w:r>
      <w:hyperlink r:id="rId2" w:tooltip="https://www.rosseti.ru/suppliers/technical-policy/equipment-quality-control/" w:history="1">
        <w:r>
          <w:rPr>
            <w:rStyle w:val="1022"/>
          </w:rPr>
          <w:t xml:space="preserve">https://www.rosseti.ru/suppliers/technical-policy/equipment-quality-control/</w:t>
        </w:r>
      </w:hyperlink>
      <w:r>
        <w:rPr>
          <w:bCs/>
        </w:rPr>
        <w:t xml:space="preserve">)</w:t>
      </w:r>
      <w:r>
        <w:t xml:space="preserve">.</w:t>
      </w:r>
      <w:r>
        <w:rPr>
          <w:sz w:val="18"/>
          <w:szCs w:val="18"/>
        </w:rPr>
      </w:r>
      <w:r/>
    </w:p>
    <w:p>
      <w:pPr>
        <w:pStyle w:val="1043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825" w:hanging="825"/>
      </w:pPr>
      <w:rPr>
        <w:rFonts w:hint="default"/>
      </w:rPr>
    </w:lvl>
    <w:lvl w:ilvl="1">
      <w:start w:val="10"/>
      <w:numFmt w:val="decimal"/>
      <w:isLgl w:val="false"/>
      <w:suff w:val="tab"/>
      <w:lvlText w:val="%1.%2.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Arial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styleLink w:val="1034"/>
    <w:lvl w:ilvl="0">
      <w:start w:val="1"/>
      <w:numFmt w:val="decimal"/>
      <w:pStyle w:val="1031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032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1033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1035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1036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1037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1038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360"/>
        <w:tabs>
          <w:tab w:val="num" w:pos="420" w:leader="none"/>
        </w:tabs>
      </w:pPr>
      <w:rPr>
        <w:b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b/>
      </w:rPr>
    </w:lvl>
    <w:lvl w:ilvl="1">
      <w:start w:val="8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2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2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8"/>
      <w:numFmt w:val="decimal"/>
      <w:isLgl w:val="false"/>
      <w:suff w:val="tab"/>
      <w:lvlText w:val="%1.%2."/>
      <w:lvlJc w:val="left"/>
      <w:pPr>
        <w:ind w:left="824" w:hanging="54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suff w:val="tab"/>
      <w:lvlText w:val="%1.%2."/>
      <w:lvlJc w:val="left"/>
      <w:pPr>
        <w:ind w:left="1249" w:hanging="540"/>
      </w:pPr>
      <w:rPr>
        <w:rFonts w:hint="default"/>
        <w:b w:val="0"/>
      </w:rPr>
    </w:lvl>
    <w:lvl w:ilvl="2">
      <w:start w:val="2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29">
    <w:multiLevelType w:val="hybridMultilevel"/>
    <w:numStyleLink w:val="103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multiLevelType w:val="hybridMultilevel"/>
    <w:numStyleLink w:val="103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multiLevelType w:val="hybridMultilevel"/>
    <w:numStyleLink w:val="103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numStyleLink w:val="1034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2"/>
  </w:num>
  <w:num w:numId="4">
    <w:abstractNumId w:val="6"/>
  </w:num>
  <w:num w:numId="5">
    <w:abstractNumId w:val="25"/>
  </w:num>
  <w:num w:numId="6">
    <w:abstractNumId w:val="20"/>
  </w:num>
  <w:num w:numId="7">
    <w:abstractNumId w:val="17"/>
  </w:num>
  <w:num w:numId="8">
    <w:abstractNumId w:val="31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6"/>
  </w:num>
  <w:num w:numId="12">
    <w:abstractNumId w:val="19"/>
  </w:num>
  <w:num w:numId="13">
    <w:abstractNumId w:val="2"/>
  </w:num>
  <w:num w:numId="14">
    <w:abstractNumId w:val="3"/>
  </w:num>
  <w:num w:numId="15">
    <w:abstractNumId w:val="16"/>
  </w:num>
  <w:num w:numId="16">
    <w:abstractNumId w:val="24"/>
  </w:num>
  <w:num w:numId="17">
    <w:abstractNumId w:val="4"/>
  </w:num>
  <w:num w:numId="18">
    <w:abstractNumId w:val="23"/>
  </w:num>
  <w:num w:numId="19">
    <w:abstractNumId w:val="5"/>
  </w:num>
  <w:num w:numId="20">
    <w:abstractNumId w:val="27"/>
  </w:num>
  <w:num w:numId="21">
    <w:abstractNumId w:val="12"/>
  </w:num>
  <w:num w:numId="22">
    <w:abstractNumId w:val="13"/>
  </w:num>
  <w:num w:numId="23">
    <w:abstractNumId w:val="28"/>
  </w:num>
  <w:num w:numId="24">
    <w:abstractNumId w:val="18"/>
  </w:num>
  <w:num w:numId="25">
    <w:abstractNumId w:val="8"/>
  </w:num>
  <w:num w:numId="26">
    <w:abstractNumId w:val="10"/>
  </w:num>
  <w:num w:numId="27">
    <w:abstractNumId w:val="29"/>
    <w:lvlOverride w:ilvl="0">
      <w:lvl w:ilvl="0">
        <w:start w:val="1"/>
        <w:numFmt w:val="decimal"/>
        <w:pStyle w:val="103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32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33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1035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36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37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38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30"/>
  </w:num>
  <w:num w:numId="31">
    <w:abstractNumId w:val="7"/>
  </w:num>
  <w:num w:numId="32">
    <w:abstractNumId w:val="0"/>
  </w:num>
  <w:num w:numId="33">
    <w:abstractNumId w:val="21"/>
  </w:num>
  <w:num w:numId="34">
    <w:abstractNumId w:val="29"/>
    <w:lvlOverride w:ilvl="0">
      <w:startOverride w:val="1"/>
      <w:lvl w:ilvl="0">
        <w:start w:val="1"/>
        <w:numFmt w:val="decimal"/>
        <w:pStyle w:val="103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1032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35">
    <w:abstractNumId w:val="29"/>
    <w:lvlOverride w:ilvl="0">
      <w:lvl w:ilvl="0">
        <w:start w:val="1"/>
        <w:numFmt w:val="decimal"/>
        <w:pStyle w:val="103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32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1033"/>
        <w:isLgl w:val="false"/>
        <w:suff w:val="tab"/>
        <w:lvlText w:val="%1.%2.%3."/>
        <w:lvlJc w:val="left"/>
        <w:pPr>
          <w:ind w:left="567" w:hanging="567"/>
        </w:pPr>
        <w:rPr>
          <w:rFonts w:hint="default"/>
          <w:b w:val="0"/>
          <w:i w:val="0"/>
          <w:color w:val="auto"/>
        </w:rPr>
      </w:lvl>
    </w:lvlOverride>
    <w:lvlOverride w:ilvl="3">
      <w:lvl w:ilvl="3">
        <w:start w:val="1"/>
        <w:numFmt w:val="decimal"/>
        <w:pStyle w:val="1035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36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37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1038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6">
    <w:abstractNumId w:val="29"/>
    <w:lvlOverride w:ilvl="0">
      <w:lvl w:ilvl="0">
        <w:start w:val="1"/>
        <w:numFmt w:val="decimal"/>
        <w:pStyle w:val="1031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1032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pStyle w:val="1033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</w:rPr>
      </w:lvl>
    </w:lvlOverride>
    <w:lvlOverride w:ilvl="3">
      <w:lvl w:ilvl="3">
        <w:start w:val="1"/>
        <w:numFmt w:val="decimal"/>
        <w:pStyle w:val="1035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1036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1037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pStyle w:val="1038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7">
    <w:abstractNumId w:val="32"/>
  </w:num>
  <w:num w:numId="38">
    <w:abstractNumId w:val="33"/>
  </w:num>
  <w:num w:numId="39">
    <w:abstractNumId w:val="34"/>
  </w:num>
  <w:num w:numId="40">
    <w:abstractNumId w:val="35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1">
    <w:abstractNumId w:val="36"/>
  </w:num>
  <w:num w:numId="42">
    <w:abstractNumId w:val="37"/>
  </w:num>
  <w:num w:numId="43">
    <w:abstractNumId w:val="38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sz w:val="24"/>
          <w:szCs w:val="24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4">
    <w:abstractNumId w:val="39"/>
    <w:lvlOverride w:ilvl="0">
      <w:lvl w:ilvl="0">
        <w:start w:val="1"/>
        <w:numFmt w:val="decimal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  <w:sz w:val="24"/>
          <w:szCs w:val="24"/>
          <w:highlight w:val="none"/>
        </w:rPr>
      </w:lvl>
    </w:lvlOverride>
    <w:lvlOverride w:ilvl="3">
      <w:lvl w:ilvl="3">
        <w:start w:val="1"/>
        <w:numFmt w:val="decimal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45">
    <w:abstractNumId w:val="40"/>
  </w:num>
  <w:num w:numId="46">
    <w:abstractNumId w:val="41"/>
  </w:num>
  <w:num w:numId="47">
    <w:abstractNumId w:val="42"/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0">
    <w:name w:val="Heading 1 Char"/>
    <w:basedOn w:val="1002"/>
    <w:link w:val="998"/>
    <w:uiPriority w:val="9"/>
    <w:rPr>
      <w:rFonts w:ascii="Arial" w:hAnsi="Arial" w:eastAsia="Arial" w:cs="Arial"/>
      <w:sz w:val="40"/>
      <w:szCs w:val="40"/>
    </w:rPr>
  </w:style>
  <w:style w:type="character" w:styleId="831">
    <w:name w:val="Heading 2 Char"/>
    <w:basedOn w:val="1002"/>
    <w:link w:val="999"/>
    <w:uiPriority w:val="9"/>
    <w:rPr>
      <w:rFonts w:ascii="Arial" w:hAnsi="Arial" w:eastAsia="Arial" w:cs="Arial"/>
      <w:sz w:val="34"/>
    </w:rPr>
  </w:style>
  <w:style w:type="character" w:styleId="832">
    <w:name w:val="Heading 3 Char"/>
    <w:basedOn w:val="1002"/>
    <w:link w:val="1000"/>
    <w:uiPriority w:val="9"/>
    <w:rPr>
      <w:rFonts w:ascii="Arial" w:hAnsi="Arial" w:eastAsia="Arial" w:cs="Arial"/>
      <w:sz w:val="30"/>
      <w:szCs w:val="30"/>
    </w:rPr>
  </w:style>
  <w:style w:type="paragraph" w:styleId="833">
    <w:name w:val="Heading 4"/>
    <w:basedOn w:val="997"/>
    <w:next w:val="997"/>
    <w:link w:val="8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4">
    <w:name w:val="Heading 4 Char"/>
    <w:basedOn w:val="1002"/>
    <w:link w:val="833"/>
    <w:uiPriority w:val="9"/>
    <w:rPr>
      <w:rFonts w:ascii="Arial" w:hAnsi="Arial" w:eastAsia="Arial" w:cs="Arial"/>
      <w:b/>
      <w:bCs/>
      <w:sz w:val="26"/>
      <w:szCs w:val="26"/>
    </w:rPr>
  </w:style>
  <w:style w:type="character" w:styleId="835">
    <w:name w:val="Heading 5 Char"/>
    <w:basedOn w:val="1002"/>
    <w:link w:val="1001"/>
    <w:uiPriority w:val="9"/>
    <w:rPr>
      <w:rFonts w:ascii="Arial" w:hAnsi="Arial" w:eastAsia="Arial" w:cs="Arial"/>
      <w:b/>
      <w:bCs/>
      <w:sz w:val="24"/>
      <w:szCs w:val="24"/>
    </w:rPr>
  </w:style>
  <w:style w:type="paragraph" w:styleId="836">
    <w:name w:val="Heading 6"/>
    <w:basedOn w:val="997"/>
    <w:next w:val="997"/>
    <w:link w:val="8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7">
    <w:name w:val="Heading 6 Char"/>
    <w:basedOn w:val="1002"/>
    <w:link w:val="836"/>
    <w:uiPriority w:val="9"/>
    <w:rPr>
      <w:rFonts w:ascii="Arial" w:hAnsi="Arial" w:eastAsia="Arial" w:cs="Arial"/>
      <w:b/>
      <w:bCs/>
      <w:sz w:val="22"/>
      <w:szCs w:val="22"/>
    </w:rPr>
  </w:style>
  <w:style w:type="paragraph" w:styleId="838">
    <w:name w:val="Heading 7"/>
    <w:basedOn w:val="997"/>
    <w:next w:val="997"/>
    <w:link w:val="83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9">
    <w:name w:val="Heading 7 Char"/>
    <w:basedOn w:val="1002"/>
    <w:link w:val="8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0">
    <w:name w:val="Heading 8"/>
    <w:basedOn w:val="997"/>
    <w:next w:val="997"/>
    <w:link w:val="8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1">
    <w:name w:val="Heading 8 Char"/>
    <w:basedOn w:val="1002"/>
    <w:link w:val="840"/>
    <w:uiPriority w:val="9"/>
    <w:rPr>
      <w:rFonts w:ascii="Arial" w:hAnsi="Arial" w:eastAsia="Arial" w:cs="Arial"/>
      <w:i/>
      <w:iCs/>
      <w:sz w:val="22"/>
      <w:szCs w:val="22"/>
    </w:rPr>
  </w:style>
  <w:style w:type="paragraph" w:styleId="842">
    <w:name w:val="Heading 9"/>
    <w:basedOn w:val="997"/>
    <w:next w:val="997"/>
    <w:link w:val="84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3">
    <w:name w:val="Heading 9 Char"/>
    <w:basedOn w:val="1002"/>
    <w:link w:val="842"/>
    <w:uiPriority w:val="9"/>
    <w:rPr>
      <w:rFonts w:ascii="Arial" w:hAnsi="Arial" w:eastAsia="Arial" w:cs="Arial"/>
      <w:i/>
      <w:iCs/>
      <w:sz w:val="21"/>
      <w:szCs w:val="21"/>
    </w:rPr>
  </w:style>
  <w:style w:type="character" w:styleId="844">
    <w:name w:val="Title Char"/>
    <w:basedOn w:val="1002"/>
    <w:link w:val="1009"/>
    <w:uiPriority w:val="10"/>
    <w:rPr>
      <w:sz w:val="48"/>
      <w:szCs w:val="48"/>
    </w:rPr>
  </w:style>
  <w:style w:type="paragraph" w:styleId="845">
    <w:name w:val="Subtitle"/>
    <w:basedOn w:val="997"/>
    <w:next w:val="997"/>
    <w:link w:val="846"/>
    <w:uiPriority w:val="11"/>
    <w:qFormat/>
    <w:pPr>
      <w:spacing w:before="200" w:after="200"/>
    </w:pPr>
    <w:rPr>
      <w:sz w:val="24"/>
      <w:szCs w:val="24"/>
    </w:rPr>
  </w:style>
  <w:style w:type="character" w:styleId="846">
    <w:name w:val="Subtitle Char"/>
    <w:basedOn w:val="1002"/>
    <w:link w:val="845"/>
    <w:uiPriority w:val="11"/>
    <w:rPr>
      <w:sz w:val="24"/>
      <w:szCs w:val="24"/>
    </w:rPr>
  </w:style>
  <w:style w:type="paragraph" w:styleId="847">
    <w:name w:val="Quote"/>
    <w:basedOn w:val="997"/>
    <w:next w:val="997"/>
    <w:link w:val="848"/>
    <w:uiPriority w:val="29"/>
    <w:qFormat/>
    <w:pPr>
      <w:ind w:left="720" w:right="720"/>
    </w:pPr>
    <w:rPr>
      <w:i/>
    </w:rPr>
  </w:style>
  <w:style w:type="character" w:styleId="848">
    <w:name w:val="Quote Char"/>
    <w:link w:val="847"/>
    <w:uiPriority w:val="29"/>
    <w:rPr>
      <w:i/>
    </w:rPr>
  </w:style>
  <w:style w:type="paragraph" w:styleId="849">
    <w:name w:val="Intense Quote"/>
    <w:basedOn w:val="997"/>
    <w:next w:val="997"/>
    <w:link w:val="85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0">
    <w:name w:val="Intense Quote Char"/>
    <w:link w:val="849"/>
    <w:uiPriority w:val="30"/>
    <w:rPr>
      <w:i/>
    </w:rPr>
  </w:style>
  <w:style w:type="paragraph" w:styleId="851">
    <w:name w:val="Header"/>
    <w:basedOn w:val="997"/>
    <w:link w:val="85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52">
    <w:name w:val="Header Char"/>
    <w:basedOn w:val="1002"/>
    <w:link w:val="851"/>
    <w:uiPriority w:val="99"/>
  </w:style>
  <w:style w:type="character" w:styleId="853">
    <w:name w:val="Footer Char"/>
    <w:basedOn w:val="1002"/>
    <w:link w:val="1025"/>
    <w:uiPriority w:val="99"/>
  </w:style>
  <w:style w:type="paragraph" w:styleId="854">
    <w:name w:val="Caption"/>
    <w:basedOn w:val="997"/>
    <w:next w:val="997"/>
    <w:link w:val="8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5">
    <w:name w:val="Caption Char"/>
    <w:basedOn w:val="1002"/>
    <w:link w:val="854"/>
    <w:uiPriority w:val="35"/>
    <w:rPr>
      <w:b/>
      <w:bCs/>
      <w:color w:val="4f81bd" w:themeColor="accent1"/>
      <w:sz w:val="18"/>
      <w:szCs w:val="18"/>
    </w:rPr>
  </w:style>
  <w:style w:type="table" w:styleId="856">
    <w:name w:val="Table Grid"/>
    <w:basedOn w:val="100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>
    <w:name w:val="Table Grid Light"/>
    <w:basedOn w:val="100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>
    <w:name w:val="Plain Table 1"/>
    <w:basedOn w:val="100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9">
    <w:name w:val="Plain Table 2"/>
    <w:basedOn w:val="100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0">
    <w:name w:val="Plain Table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1">
    <w:name w:val="Plain Table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Plain Table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3">
    <w:name w:val="Grid Table 1 Light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4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5">
    <w:name w:val="Grid Table 4 - Accent 1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6">
    <w:name w:val="Grid Table 4 - Accent 2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7">
    <w:name w:val="Grid Table 4 - Accent 3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8">
    <w:name w:val="Grid Table 4 - Accent 4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9">
    <w:name w:val="Grid Table 4 - Accent 5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0">
    <w:name w:val="Grid Table 4 - Accent 6"/>
    <w:basedOn w:val="10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1">
    <w:name w:val="Grid Table 5 Dark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2">
    <w:name w:val="Grid Table 5 Dark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4">
    <w:name w:val="Grid Table 5 Dark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5">
    <w:name w:val="Grid Table 5 Dark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6">
    <w:name w:val="Grid Table 5 Dark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7">
    <w:name w:val="Grid Table 5 Dark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8">
    <w:name w:val="Grid Table 6 Colorful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9">
    <w:name w:val="Grid Table 6 Colorful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0">
    <w:name w:val="Grid Table 6 Colorful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1">
    <w:name w:val="Grid Table 6 Colorful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2">
    <w:name w:val="Grid Table 6 Colorful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3">
    <w:name w:val="Grid Table 6 Colorful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4">
    <w:name w:val="Grid Table 6 Colorful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5">
    <w:name w:val="Grid Table 7 Colorful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0">
    <w:name w:val="List Table 2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1">
    <w:name w:val="List Table 2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2">
    <w:name w:val="List Table 2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3">
    <w:name w:val="List Table 2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4">
    <w:name w:val="List Table 2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5">
    <w:name w:val="List Table 2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6">
    <w:name w:val="List Table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5 Dark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6 Colorful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8">
    <w:name w:val="List Table 6 Colorful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9">
    <w:name w:val="List Table 6 Colorful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0">
    <w:name w:val="List Table 6 Colorful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1">
    <w:name w:val="List Table 6 Colorful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2">
    <w:name w:val="List Table 6 Colorful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3">
    <w:name w:val="List Table 6 Colorful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4">
    <w:name w:val="List Table 7 Colorful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5">
    <w:name w:val="List Table 7 Colorful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6">
    <w:name w:val="List Table 7 Colorful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7">
    <w:name w:val="List Table 7 Colorful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8">
    <w:name w:val="List Table 7 Colorful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9">
    <w:name w:val="List Table 7 Colorful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60">
    <w:name w:val="List Table 7 Colorful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61">
    <w:name w:val="Lined - Accent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2">
    <w:name w:val="Lined - Accent 1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3">
    <w:name w:val="Lined - Accent 2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4">
    <w:name w:val="Lined - Accent 3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5">
    <w:name w:val="Lined - Accent 4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6">
    <w:name w:val="Lined - Accent 5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7">
    <w:name w:val="Lined - Accent 6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8">
    <w:name w:val="Bordered &amp; Lined - Accent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9">
    <w:name w:val="Bordered &amp; Lined - Accent 1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0">
    <w:name w:val="Bordered &amp; Lined - Accent 2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1">
    <w:name w:val="Bordered &amp; Lined - Accent 3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2">
    <w:name w:val="Bordered &amp; Lined - Accent 4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3">
    <w:name w:val="Bordered &amp; Lined - Accent 5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4">
    <w:name w:val="Bordered &amp; Lined - Accent 6"/>
    <w:basedOn w:val="100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5">
    <w:name w:val="Bordered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6">
    <w:name w:val="Bordered - Accent 1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7">
    <w:name w:val="Bordered - Accent 2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8">
    <w:name w:val="Bordered - Accent 3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9">
    <w:name w:val="Bordered - Accent 4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0">
    <w:name w:val="Bordered - Accent 5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1">
    <w:name w:val="Bordered - Accent 6"/>
    <w:basedOn w:val="10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2">
    <w:name w:val="Footnote Text Char"/>
    <w:link w:val="1043"/>
    <w:uiPriority w:val="99"/>
    <w:rPr>
      <w:sz w:val="18"/>
    </w:rPr>
  </w:style>
  <w:style w:type="paragraph" w:styleId="983">
    <w:name w:val="endnote text"/>
    <w:basedOn w:val="997"/>
    <w:link w:val="984"/>
    <w:uiPriority w:val="99"/>
    <w:semiHidden/>
    <w:unhideWhenUsed/>
    <w:pPr>
      <w:spacing w:after="0" w:line="240" w:lineRule="auto"/>
    </w:pPr>
    <w:rPr>
      <w:sz w:val="20"/>
    </w:rPr>
  </w:style>
  <w:style w:type="character" w:styleId="984">
    <w:name w:val="Endnote Text Char"/>
    <w:link w:val="983"/>
    <w:uiPriority w:val="99"/>
    <w:rPr>
      <w:sz w:val="20"/>
    </w:rPr>
  </w:style>
  <w:style w:type="character" w:styleId="985">
    <w:name w:val="endnote reference"/>
    <w:basedOn w:val="1002"/>
    <w:uiPriority w:val="99"/>
    <w:semiHidden/>
    <w:unhideWhenUsed/>
    <w:rPr>
      <w:vertAlign w:val="superscript"/>
    </w:rPr>
  </w:style>
  <w:style w:type="paragraph" w:styleId="986">
    <w:name w:val="toc 1"/>
    <w:basedOn w:val="997"/>
    <w:next w:val="997"/>
    <w:uiPriority w:val="39"/>
    <w:unhideWhenUsed/>
    <w:pPr>
      <w:ind w:left="0" w:right="0" w:firstLine="0"/>
      <w:spacing w:after="57"/>
    </w:pPr>
  </w:style>
  <w:style w:type="paragraph" w:styleId="987">
    <w:name w:val="toc 2"/>
    <w:basedOn w:val="997"/>
    <w:next w:val="997"/>
    <w:uiPriority w:val="39"/>
    <w:unhideWhenUsed/>
    <w:pPr>
      <w:ind w:left="283" w:right="0" w:firstLine="0"/>
      <w:spacing w:after="57"/>
    </w:pPr>
  </w:style>
  <w:style w:type="paragraph" w:styleId="988">
    <w:name w:val="toc 3"/>
    <w:basedOn w:val="997"/>
    <w:next w:val="997"/>
    <w:uiPriority w:val="39"/>
    <w:unhideWhenUsed/>
    <w:pPr>
      <w:ind w:left="567" w:right="0" w:firstLine="0"/>
      <w:spacing w:after="57"/>
    </w:pPr>
  </w:style>
  <w:style w:type="paragraph" w:styleId="989">
    <w:name w:val="toc 4"/>
    <w:basedOn w:val="997"/>
    <w:next w:val="997"/>
    <w:uiPriority w:val="39"/>
    <w:unhideWhenUsed/>
    <w:pPr>
      <w:ind w:left="850" w:right="0" w:firstLine="0"/>
      <w:spacing w:after="57"/>
    </w:pPr>
  </w:style>
  <w:style w:type="paragraph" w:styleId="990">
    <w:name w:val="toc 5"/>
    <w:basedOn w:val="997"/>
    <w:next w:val="997"/>
    <w:uiPriority w:val="39"/>
    <w:unhideWhenUsed/>
    <w:pPr>
      <w:ind w:left="1134" w:right="0" w:firstLine="0"/>
      <w:spacing w:after="57"/>
    </w:pPr>
  </w:style>
  <w:style w:type="paragraph" w:styleId="991">
    <w:name w:val="toc 6"/>
    <w:basedOn w:val="997"/>
    <w:next w:val="997"/>
    <w:uiPriority w:val="39"/>
    <w:unhideWhenUsed/>
    <w:pPr>
      <w:ind w:left="1417" w:right="0" w:firstLine="0"/>
      <w:spacing w:after="57"/>
    </w:pPr>
  </w:style>
  <w:style w:type="paragraph" w:styleId="992">
    <w:name w:val="toc 7"/>
    <w:basedOn w:val="997"/>
    <w:next w:val="997"/>
    <w:uiPriority w:val="39"/>
    <w:unhideWhenUsed/>
    <w:pPr>
      <w:ind w:left="1701" w:right="0" w:firstLine="0"/>
      <w:spacing w:after="57"/>
    </w:pPr>
  </w:style>
  <w:style w:type="paragraph" w:styleId="993">
    <w:name w:val="toc 8"/>
    <w:basedOn w:val="997"/>
    <w:next w:val="997"/>
    <w:uiPriority w:val="39"/>
    <w:unhideWhenUsed/>
    <w:pPr>
      <w:ind w:left="1984" w:right="0" w:firstLine="0"/>
      <w:spacing w:after="57"/>
    </w:pPr>
  </w:style>
  <w:style w:type="paragraph" w:styleId="994">
    <w:name w:val="toc 9"/>
    <w:basedOn w:val="997"/>
    <w:next w:val="997"/>
    <w:uiPriority w:val="39"/>
    <w:unhideWhenUsed/>
    <w:pPr>
      <w:ind w:left="2268" w:right="0" w:firstLine="0"/>
      <w:spacing w:after="57"/>
    </w:pPr>
  </w:style>
  <w:style w:type="paragraph" w:styleId="995">
    <w:name w:val="TOC Heading"/>
    <w:uiPriority w:val="39"/>
    <w:unhideWhenUsed/>
  </w:style>
  <w:style w:type="paragraph" w:styleId="996">
    <w:name w:val="table of figures"/>
    <w:basedOn w:val="997"/>
    <w:next w:val="997"/>
    <w:uiPriority w:val="99"/>
    <w:unhideWhenUsed/>
    <w:pPr>
      <w:spacing w:after="0" w:afterAutospacing="0"/>
    </w:pPr>
  </w:style>
  <w:style w:type="paragraph" w:styleId="99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8">
    <w:name w:val="Heading 1"/>
    <w:basedOn w:val="997"/>
    <w:next w:val="997"/>
    <w:link w:val="1005"/>
    <w:qFormat/>
    <w:pPr>
      <w:jc w:val="center"/>
      <w:keepNext/>
      <w:outlineLvl w:val="0"/>
    </w:pPr>
    <w:rPr>
      <w:sz w:val="28"/>
    </w:rPr>
  </w:style>
  <w:style w:type="paragraph" w:styleId="999">
    <w:name w:val="Heading 2"/>
    <w:basedOn w:val="997"/>
    <w:next w:val="997"/>
    <w:link w:val="1030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1000">
    <w:name w:val="Heading 3"/>
    <w:basedOn w:val="997"/>
    <w:next w:val="997"/>
    <w:link w:val="1028"/>
    <w:uiPriority w:val="9"/>
    <w:semiHidden/>
    <w:unhideWhenUsed/>
    <w:qFormat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1001">
    <w:name w:val="Heading 5"/>
    <w:basedOn w:val="997"/>
    <w:next w:val="997"/>
    <w:link w:val="1023"/>
    <w:unhideWhenUsed/>
    <w:qFormat/>
    <w:pPr>
      <w:keepLines/>
      <w:keepNext/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character" w:styleId="1002" w:default="1">
    <w:name w:val="Default Paragraph Font"/>
    <w:uiPriority w:val="1"/>
    <w:semiHidden/>
    <w:unhideWhenUsed/>
  </w:style>
  <w:style w:type="table" w:styleId="100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4" w:default="1">
    <w:name w:val="No List"/>
    <w:uiPriority w:val="99"/>
    <w:semiHidden/>
    <w:unhideWhenUsed/>
  </w:style>
  <w:style w:type="character" w:styleId="1005" w:customStyle="1">
    <w:name w:val="Заголовок 1 Знак"/>
    <w:basedOn w:val="1002"/>
    <w:link w:val="998"/>
    <w:rPr>
      <w:rFonts w:ascii="Times New Roman" w:hAnsi="Times New Roman" w:eastAsia="Times New Roman" w:cs="Times New Roman"/>
      <w:sz w:val="28"/>
      <w:szCs w:val="24"/>
    </w:rPr>
  </w:style>
  <w:style w:type="paragraph" w:styleId="1006">
    <w:name w:val="Body Text Indent"/>
    <w:basedOn w:val="997"/>
    <w:link w:val="1007"/>
    <w:uiPriority w:val="99"/>
    <w:pPr>
      <w:ind w:left="1083" w:firstLine="537"/>
      <w:jc w:val="both"/>
      <w:tabs>
        <w:tab w:val="num" w:pos="0" w:leader="none"/>
      </w:tabs>
    </w:pPr>
  </w:style>
  <w:style w:type="character" w:styleId="1007" w:customStyle="1">
    <w:name w:val="Основной текст с отступом Знак"/>
    <w:basedOn w:val="1002"/>
    <w:link w:val="1006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08">
    <w:name w:val="Normal (Web)"/>
    <w:basedOn w:val="997"/>
    <w:uiPriority w:val="99"/>
    <w:pPr>
      <w:spacing w:before="100" w:beforeAutospacing="1" w:after="100" w:afterAutospacing="1"/>
    </w:pPr>
  </w:style>
  <w:style w:type="paragraph" w:styleId="1009">
    <w:name w:val="Title"/>
    <w:basedOn w:val="997"/>
    <w:link w:val="1010"/>
    <w:uiPriority w:val="10"/>
    <w:qFormat/>
    <w:pPr>
      <w:jc w:val="center"/>
    </w:pPr>
    <w:rPr>
      <w:sz w:val="28"/>
    </w:rPr>
  </w:style>
  <w:style w:type="character" w:styleId="1010" w:customStyle="1">
    <w:name w:val="Заголовок Знак"/>
    <w:basedOn w:val="1002"/>
    <w:link w:val="1009"/>
    <w:uiPriority w:val="10"/>
    <w:rPr>
      <w:rFonts w:ascii="Times New Roman" w:hAnsi="Times New Roman" w:eastAsia="Times New Roman" w:cs="Times New Roman"/>
      <w:sz w:val="28"/>
      <w:szCs w:val="24"/>
    </w:rPr>
  </w:style>
  <w:style w:type="paragraph" w:styleId="1011" w:customStyle="1">
    <w:name w:val="Подподпункт"/>
    <w:basedOn w:val="997"/>
  </w:style>
  <w:style w:type="paragraph" w:styleId="1012">
    <w:name w:val="Plain Text"/>
    <w:basedOn w:val="997"/>
    <w:link w:val="1013"/>
    <w:uiPriority w:val="99"/>
    <w:unhideWhenUsed/>
    <w:rPr>
      <w:rFonts w:ascii="Consolas" w:hAnsi="Consolas" w:eastAsia="Calibri"/>
      <w:sz w:val="21"/>
      <w:szCs w:val="21"/>
      <w:lang w:eastAsia="en-US"/>
    </w:rPr>
  </w:style>
  <w:style w:type="character" w:styleId="1013" w:customStyle="1">
    <w:name w:val="Текст Знак"/>
    <w:basedOn w:val="1002"/>
    <w:link w:val="1012"/>
    <w:uiPriority w:val="99"/>
    <w:rPr>
      <w:rFonts w:ascii="Consolas" w:hAnsi="Consolas" w:eastAsia="Calibri" w:cs="Times New Roman"/>
      <w:sz w:val="21"/>
      <w:szCs w:val="21"/>
    </w:rPr>
  </w:style>
  <w:style w:type="character" w:styleId="1014">
    <w:name w:val="annotation reference"/>
    <w:uiPriority w:val="99"/>
    <w:rPr>
      <w:sz w:val="16"/>
      <w:szCs w:val="16"/>
    </w:rPr>
  </w:style>
  <w:style w:type="paragraph" w:styleId="1015">
    <w:name w:val="annotation text"/>
    <w:basedOn w:val="997"/>
    <w:link w:val="1016"/>
    <w:uiPriority w:val="99"/>
    <w:rPr>
      <w:sz w:val="20"/>
      <w:szCs w:val="20"/>
    </w:rPr>
  </w:style>
  <w:style w:type="character" w:styleId="1016" w:customStyle="1">
    <w:name w:val="Текст примечания Знак"/>
    <w:basedOn w:val="1002"/>
    <w:link w:val="1015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17">
    <w:name w:val="Balloon Text"/>
    <w:basedOn w:val="997"/>
    <w:link w:val="1018"/>
    <w:uiPriority w:val="99"/>
    <w:semiHidden/>
    <w:unhideWhenUsed/>
    <w:rPr>
      <w:rFonts w:ascii="Tahoma" w:hAnsi="Tahoma" w:cs="Tahoma"/>
      <w:sz w:val="16"/>
      <w:szCs w:val="16"/>
    </w:rPr>
  </w:style>
  <w:style w:type="character" w:styleId="1018" w:customStyle="1">
    <w:name w:val="Текст выноски Знак"/>
    <w:basedOn w:val="1002"/>
    <w:link w:val="1017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19">
    <w:name w:val="annotation subject"/>
    <w:basedOn w:val="1015"/>
    <w:next w:val="1015"/>
    <w:link w:val="1020"/>
    <w:uiPriority w:val="99"/>
    <w:semiHidden/>
    <w:unhideWhenUsed/>
    <w:rPr>
      <w:b/>
      <w:bCs/>
    </w:rPr>
  </w:style>
  <w:style w:type="character" w:styleId="1020" w:customStyle="1">
    <w:name w:val="Тема примечания Знак"/>
    <w:basedOn w:val="1016"/>
    <w:link w:val="101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21">
    <w:name w:val="List Paragraph"/>
    <w:basedOn w:val="997"/>
    <w:link w:val="1029"/>
    <w:uiPriority w:val="34"/>
    <w:qFormat/>
    <w:pPr>
      <w:contextualSpacing/>
      <w:ind w:left="720"/>
    </w:pPr>
  </w:style>
  <w:style w:type="character" w:styleId="1022">
    <w:name w:val="Hyperlink"/>
    <w:basedOn w:val="1002"/>
    <w:uiPriority w:val="99"/>
    <w:unhideWhenUsed/>
    <w:rPr>
      <w:color w:val="0000ff"/>
      <w:u w:val="single"/>
    </w:rPr>
  </w:style>
  <w:style w:type="character" w:styleId="1023" w:customStyle="1">
    <w:name w:val="Заголовок 5 Знак"/>
    <w:basedOn w:val="1002"/>
    <w:link w:val="1001"/>
    <w:rPr>
      <w:rFonts w:asciiTheme="majorHAnsi" w:hAnsiTheme="majorHAnsi" w:eastAsiaTheme="majorEastAsia" w:cstheme="majorBidi"/>
      <w:color w:val="365f91" w:themeColor="accent1" w:themeShade="BF"/>
      <w:sz w:val="24"/>
      <w:szCs w:val="24"/>
      <w:lang w:eastAsia="ru-RU"/>
    </w:rPr>
  </w:style>
  <w:style w:type="paragraph" w:styleId="1024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25">
    <w:name w:val="Footer"/>
    <w:basedOn w:val="997"/>
    <w:link w:val="1026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1026" w:customStyle="1">
    <w:name w:val="Нижний колонтитул Знак"/>
    <w:basedOn w:val="1002"/>
    <w:link w:val="1025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1027">
    <w:name w:val="page number"/>
    <w:basedOn w:val="1002"/>
  </w:style>
  <w:style w:type="character" w:styleId="1028" w:customStyle="1">
    <w:name w:val="Заголовок 3 Знак"/>
    <w:basedOn w:val="1002"/>
    <w:link w:val="1000"/>
    <w:uiPriority w:val="9"/>
    <w:semiHidden/>
    <w:rPr>
      <w:rFonts w:asciiTheme="majorHAnsi" w:hAnsiTheme="majorHAnsi" w:eastAsiaTheme="majorEastAsia" w:cstheme="majorBidi"/>
      <w:color w:val="243f60" w:themeColor="accent1" w:themeShade="7F"/>
      <w:sz w:val="24"/>
      <w:szCs w:val="24"/>
      <w:lang w:eastAsia="ru-RU"/>
    </w:rPr>
  </w:style>
  <w:style w:type="character" w:styleId="1029" w:customStyle="1">
    <w:name w:val="Абзац списка Знак"/>
    <w:basedOn w:val="1002"/>
    <w:link w:val="1021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30" w:customStyle="1">
    <w:name w:val="Заголовок 2 Знак"/>
    <w:basedOn w:val="1002"/>
    <w:link w:val="999"/>
    <w:uiPriority w:val="9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ru-RU"/>
    </w:rPr>
  </w:style>
  <w:style w:type="paragraph" w:styleId="1031" w:customStyle="1">
    <w:name w:val="1-з"/>
    <w:qFormat/>
    <w:pPr>
      <w:numPr>
        <w:ilvl w:val="0"/>
        <w:numId w:val="27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1032" w:customStyle="1">
    <w:name w:val="2-з"/>
    <w:basedOn w:val="997"/>
    <w:qFormat/>
    <w:pPr>
      <w:numPr>
        <w:ilvl w:val="1"/>
        <w:numId w:val="27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1033" w:customStyle="1">
    <w:name w:val="3-з"/>
    <w:link w:val="1039"/>
    <w:qFormat/>
    <w:pPr>
      <w:numPr>
        <w:ilvl w:val="2"/>
        <w:numId w:val="27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1034" w:customStyle="1">
    <w:name w:val="нумерация"/>
    <w:uiPriority w:val="99"/>
    <w:pPr>
      <w:numPr>
        <w:ilvl w:val="0"/>
        <w:numId w:val="26"/>
      </w:numPr>
    </w:pPr>
  </w:style>
  <w:style w:type="paragraph" w:styleId="1035" w:customStyle="1">
    <w:name w:val="4-з"/>
    <w:link w:val="1046"/>
    <w:qFormat/>
    <w:pPr>
      <w:numPr>
        <w:ilvl w:val="3"/>
        <w:numId w:val="27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36" w:customStyle="1">
    <w:name w:val="5-з"/>
    <w:basedOn w:val="997"/>
    <w:qFormat/>
    <w:pPr>
      <w:numPr>
        <w:ilvl w:val="4"/>
        <w:numId w:val="27"/>
      </w:numPr>
      <w:jc w:val="both"/>
      <w:widowControl w:val="off"/>
    </w:pPr>
    <w:rPr>
      <w:szCs w:val="20"/>
    </w:rPr>
  </w:style>
  <w:style w:type="paragraph" w:styleId="1037" w:customStyle="1">
    <w:name w:val="6-буквы"/>
    <w:basedOn w:val="997"/>
    <w:qFormat/>
    <w:pPr>
      <w:numPr>
        <w:ilvl w:val="5"/>
        <w:numId w:val="27"/>
      </w:numPr>
      <w:jc w:val="both"/>
      <w:widowControl w:val="off"/>
    </w:pPr>
    <w:rPr>
      <w:szCs w:val="20"/>
    </w:rPr>
  </w:style>
  <w:style w:type="paragraph" w:styleId="1038" w:customStyle="1">
    <w:name w:val="7-форма"/>
    <w:qFormat/>
    <w:pPr>
      <w:numPr>
        <w:ilvl w:val="6"/>
        <w:numId w:val="27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39" w:customStyle="1">
    <w:name w:val="3-з Знак"/>
    <w:basedOn w:val="1002"/>
    <w:link w:val="1033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040" w:customStyle="1">
    <w:name w:val="Абзац списка1"/>
    <w:basedOn w:val="997"/>
    <w:link w:val="1041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1041" w:customStyle="1">
    <w:name w:val="List Paragraph Char"/>
    <w:link w:val="1040"/>
    <w:rPr>
      <w:rFonts w:ascii="Times New Roman" w:hAnsi="Times New Roman" w:eastAsia="SimSun" w:cs="Times New Roman"/>
      <w:color w:val="000000"/>
      <w:sz w:val="24"/>
      <w:szCs w:val="20"/>
    </w:rPr>
  </w:style>
  <w:style w:type="paragraph" w:styleId="1042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43">
    <w:name w:val="footnote text"/>
    <w:basedOn w:val="997"/>
    <w:link w:val="1044"/>
    <w:uiPriority w:val="99"/>
    <w:unhideWhenUsed/>
    <w:rPr>
      <w:sz w:val="20"/>
      <w:szCs w:val="20"/>
    </w:rPr>
  </w:style>
  <w:style w:type="character" w:styleId="1044" w:customStyle="1">
    <w:name w:val="Текст сноски Знак"/>
    <w:basedOn w:val="1002"/>
    <w:link w:val="1043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45">
    <w:name w:val="footnote reference"/>
    <w:basedOn w:val="1002"/>
    <w:uiPriority w:val="99"/>
    <w:unhideWhenUsed/>
    <w:rPr>
      <w:vertAlign w:val="superscript"/>
    </w:rPr>
  </w:style>
  <w:style w:type="character" w:styleId="1046" w:customStyle="1">
    <w:name w:val="4-з Знак"/>
    <w:basedOn w:val="1002"/>
    <w:link w:val="1035"/>
    <w:rPr>
      <w:rFonts w:ascii="Times New Roman" w:hAnsi="Times New Roman"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s://www.rosseti.ru/suppliers/technical-policy/equipment-quality-control/" TargetMode="External"/><Relationship Id="rId2" Type="http://schemas.openxmlformats.org/officeDocument/2006/relationships/hyperlink" Target="https://www.rosseti.ru/suppliers/technical-policy/equipment-quality-control/" TargetMode="External"/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C9697B-E7F8-4EED-9D1F-D9C34B4EA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gubina-os</dc:creator>
  <cp:revision>56</cp:revision>
  <dcterms:created xsi:type="dcterms:W3CDTF">2024-01-30T04:06:00Z</dcterms:created>
  <dcterms:modified xsi:type="dcterms:W3CDTF">2026-08-20T05:59:57Z</dcterms:modified>
</cp:coreProperties>
</file>